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9455" w:type="dxa"/>
        <w:tblInd w:w="-1010" w:type="dxa"/>
        <w:tblLook w:val="04A0" w:firstRow="1" w:lastRow="0" w:firstColumn="1" w:lastColumn="0" w:noHBand="0" w:noVBand="1"/>
      </w:tblPr>
      <w:tblGrid>
        <w:gridCol w:w="641"/>
        <w:gridCol w:w="1893"/>
        <w:gridCol w:w="3774"/>
        <w:gridCol w:w="1384"/>
        <w:gridCol w:w="11763"/>
      </w:tblGrid>
      <w:tr w:rsidR="00020CEE" w:rsidRPr="00C42BB8" w:rsidTr="00117E89">
        <w:trPr>
          <w:trHeight w:val="530"/>
          <w:tblHeader/>
        </w:trPr>
        <w:tc>
          <w:tcPr>
            <w:tcW w:w="641" w:type="dxa"/>
            <w:shd w:val="clear" w:color="auto" w:fill="D0CECE" w:themeFill="background2" w:themeFillShade="E6"/>
          </w:tcPr>
          <w:p w:rsidR="001071FE" w:rsidRPr="00C42BB8" w:rsidRDefault="001071FE" w:rsidP="001071FE">
            <w:pPr>
              <w:jc w:val="center"/>
              <w:rPr>
                <w:rFonts w:cstheme="minorHAnsi"/>
                <w:b/>
              </w:rPr>
            </w:pPr>
            <w:bookmarkStart w:id="0" w:name="_GoBack"/>
            <w:bookmarkEnd w:id="0"/>
            <w:r w:rsidRPr="00C42BB8">
              <w:rPr>
                <w:rFonts w:cstheme="minorHAnsi"/>
                <w:b/>
              </w:rPr>
              <w:t>Item</w:t>
            </w:r>
          </w:p>
        </w:tc>
        <w:tc>
          <w:tcPr>
            <w:tcW w:w="1893" w:type="dxa"/>
            <w:shd w:val="clear" w:color="auto" w:fill="D0CECE" w:themeFill="background2" w:themeFillShade="E6"/>
          </w:tcPr>
          <w:p w:rsidR="001071FE" w:rsidRPr="00C42BB8" w:rsidRDefault="001071FE" w:rsidP="001071FE">
            <w:pPr>
              <w:jc w:val="center"/>
              <w:rPr>
                <w:rFonts w:cstheme="minorHAnsi"/>
                <w:b/>
              </w:rPr>
            </w:pPr>
            <w:r w:rsidRPr="00C42BB8">
              <w:rPr>
                <w:rFonts w:cstheme="minorHAnsi"/>
                <w:b/>
              </w:rPr>
              <w:t>Issue</w:t>
            </w:r>
          </w:p>
        </w:tc>
        <w:tc>
          <w:tcPr>
            <w:tcW w:w="3774" w:type="dxa"/>
            <w:shd w:val="clear" w:color="auto" w:fill="D0CECE" w:themeFill="background2" w:themeFillShade="E6"/>
          </w:tcPr>
          <w:p w:rsidR="001071FE" w:rsidRPr="00C42BB8" w:rsidRDefault="001071FE" w:rsidP="001071FE">
            <w:pPr>
              <w:jc w:val="center"/>
              <w:rPr>
                <w:rFonts w:cstheme="minorHAnsi"/>
                <w:b/>
              </w:rPr>
            </w:pPr>
            <w:r w:rsidRPr="00C42BB8">
              <w:rPr>
                <w:rFonts w:cstheme="minorHAnsi"/>
                <w:b/>
              </w:rPr>
              <w:t>State Concern</w:t>
            </w:r>
          </w:p>
        </w:tc>
        <w:tc>
          <w:tcPr>
            <w:tcW w:w="1384" w:type="dxa"/>
            <w:shd w:val="clear" w:color="auto" w:fill="D0CECE" w:themeFill="background2" w:themeFillShade="E6"/>
          </w:tcPr>
          <w:p w:rsidR="001071FE" w:rsidRPr="00C42BB8" w:rsidRDefault="001071FE" w:rsidP="001071FE">
            <w:pPr>
              <w:jc w:val="center"/>
              <w:rPr>
                <w:rFonts w:cstheme="minorHAnsi"/>
                <w:b/>
              </w:rPr>
            </w:pPr>
            <w:r w:rsidRPr="00C42BB8">
              <w:rPr>
                <w:rFonts w:cstheme="minorHAnsi"/>
                <w:b/>
              </w:rPr>
              <w:t>RFP Section</w:t>
            </w:r>
          </w:p>
        </w:tc>
        <w:tc>
          <w:tcPr>
            <w:tcW w:w="11763" w:type="dxa"/>
            <w:shd w:val="clear" w:color="auto" w:fill="D0CECE" w:themeFill="background2" w:themeFillShade="E6"/>
          </w:tcPr>
          <w:p w:rsidR="001071FE" w:rsidRPr="00C42BB8" w:rsidRDefault="001071FE" w:rsidP="001071FE">
            <w:pPr>
              <w:jc w:val="center"/>
              <w:rPr>
                <w:rFonts w:cstheme="minorHAnsi"/>
                <w:b/>
              </w:rPr>
            </w:pPr>
            <w:r w:rsidRPr="00C42BB8">
              <w:rPr>
                <w:rFonts w:cstheme="minorHAnsi"/>
                <w:b/>
              </w:rPr>
              <w:t>RFP Language</w:t>
            </w:r>
          </w:p>
        </w:tc>
      </w:tr>
      <w:tr w:rsidR="00D70CD5" w:rsidRPr="00C42BB8" w:rsidTr="00972641">
        <w:tc>
          <w:tcPr>
            <w:tcW w:w="641" w:type="dxa"/>
          </w:tcPr>
          <w:p w:rsidR="00D70CD5" w:rsidRPr="00C42BB8" w:rsidRDefault="00B2384E" w:rsidP="00D70CD5">
            <w:pPr>
              <w:rPr>
                <w:rFonts w:cstheme="minorHAnsi"/>
              </w:rPr>
            </w:pPr>
            <w:r>
              <w:rPr>
                <w:rFonts w:cstheme="minorHAnsi"/>
              </w:rPr>
              <w:t>1</w:t>
            </w: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Default="00D70CD5" w:rsidP="00D70CD5">
            <w:pPr>
              <w:rPr>
                <w:rFonts w:cstheme="minorHAnsi"/>
              </w:rPr>
            </w:pPr>
          </w:p>
          <w:p w:rsidR="00D70CD5" w:rsidRDefault="00D70CD5" w:rsidP="00D70CD5">
            <w:pPr>
              <w:rPr>
                <w:rFonts w:cstheme="minorHAnsi"/>
              </w:rPr>
            </w:pPr>
          </w:p>
          <w:p w:rsidR="00D70CD5" w:rsidRDefault="00D70CD5" w:rsidP="00D70CD5">
            <w:pPr>
              <w:rPr>
                <w:rFonts w:cstheme="minorHAnsi"/>
              </w:rPr>
            </w:pPr>
          </w:p>
          <w:p w:rsidR="00D70CD5"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B2384E" w:rsidP="00D70CD5">
            <w:pPr>
              <w:rPr>
                <w:rFonts w:cstheme="minorHAnsi"/>
              </w:rPr>
            </w:pPr>
            <w:r>
              <w:rPr>
                <w:rFonts w:cstheme="minorHAnsi"/>
              </w:rPr>
              <w:t>1</w:t>
            </w: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p w:rsidR="00D70CD5" w:rsidRPr="00C42BB8" w:rsidRDefault="00D70CD5" w:rsidP="00D70CD5">
            <w:pPr>
              <w:rPr>
                <w:rFonts w:cstheme="minorHAnsi"/>
              </w:rPr>
            </w:pPr>
          </w:p>
        </w:tc>
        <w:tc>
          <w:tcPr>
            <w:tcW w:w="1893" w:type="dxa"/>
          </w:tcPr>
          <w:p w:rsidR="00D70CD5" w:rsidRPr="00C42BB8" w:rsidRDefault="00D70CD5" w:rsidP="00D70CD5">
            <w:pPr>
              <w:rPr>
                <w:rFonts w:cstheme="minorHAnsi"/>
              </w:rPr>
            </w:pPr>
            <w:r w:rsidRPr="00C42BB8">
              <w:rPr>
                <w:rFonts w:eastAsia="Times New Roman" w:cstheme="minorHAnsi"/>
                <w:b/>
              </w:rPr>
              <w:lastRenderedPageBreak/>
              <w:t>Person-Centered Service Plans</w:t>
            </w:r>
          </w:p>
        </w:tc>
        <w:tc>
          <w:tcPr>
            <w:tcW w:w="3774" w:type="dxa"/>
          </w:tcPr>
          <w:p w:rsidR="00D70CD5" w:rsidRPr="00C42BB8" w:rsidRDefault="00D70CD5" w:rsidP="00D70CD5">
            <w:pPr>
              <w:rPr>
                <w:rFonts w:cstheme="minorHAnsi"/>
              </w:rPr>
            </w:pPr>
            <w:r w:rsidRPr="00C42BB8">
              <w:rPr>
                <w:rFonts w:eastAsia="Times New Roman" w:cstheme="minorHAnsi"/>
              </w:rPr>
              <w:t>Service plans lacked clear timeframes, specific units, clear language</w:t>
            </w:r>
          </w:p>
        </w:tc>
        <w:tc>
          <w:tcPr>
            <w:tcW w:w="1384" w:type="dxa"/>
          </w:tcPr>
          <w:p w:rsidR="00D70CD5" w:rsidRPr="00C42BB8" w:rsidRDefault="00D70CD5" w:rsidP="00D70CD5">
            <w:pPr>
              <w:rPr>
                <w:rFonts w:cstheme="minorHAnsi"/>
              </w:rPr>
            </w:pPr>
            <w:r w:rsidRPr="00C42BB8">
              <w:rPr>
                <w:rFonts w:eastAsia="Calibri" w:cstheme="minorHAnsi"/>
              </w:rPr>
              <w:t>RFP 5.4.4.</w:t>
            </w:r>
            <w:proofErr w:type="gramStart"/>
            <w:r w:rsidRPr="00C42BB8">
              <w:rPr>
                <w:rFonts w:eastAsia="Calibri" w:cstheme="minorHAnsi"/>
              </w:rPr>
              <w:t>1.D</w:t>
            </w:r>
            <w:proofErr w:type="gramEnd"/>
          </w:p>
        </w:tc>
        <w:tc>
          <w:tcPr>
            <w:tcW w:w="11763" w:type="dxa"/>
          </w:tcPr>
          <w:p w:rsidR="00D70CD5" w:rsidRPr="00C42BB8" w:rsidRDefault="00D70CD5" w:rsidP="00D70CD5">
            <w:pPr>
              <w:rPr>
                <w:rFonts w:eastAsia="Times New Roman" w:cstheme="minorHAnsi"/>
                <w:bCs/>
              </w:rPr>
            </w:pPr>
            <w:r w:rsidRPr="00C42BB8">
              <w:rPr>
                <w:rFonts w:eastAsia="Times New Roman" w:cstheme="minorHAnsi"/>
                <w:bCs/>
              </w:rPr>
              <w:t>5.4 Service Coordination</w:t>
            </w:r>
          </w:p>
          <w:p w:rsidR="00D70CD5" w:rsidRPr="00C42BB8" w:rsidRDefault="00D70CD5" w:rsidP="00D70CD5">
            <w:pPr>
              <w:rPr>
                <w:rFonts w:eastAsia="Times New Roman" w:cstheme="minorHAnsi"/>
                <w:bCs/>
              </w:rPr>
            </w:pPr>
            <w:r w:rsidRPr="00C42BB8">
              <w:rPr>
                <w:rFonts w:eastAsia="Times New Roman" w:cstheme="minorHAnsi"/>
                <w:bCs/>
              </w:rPr>
              <w:t xml:space="preserve">5.4.4.1 PLANS OF SERVICE </w:t>
            </w:r>
          </w:p>
          <w:p w:rsidR="00D70CD5" w:rsidRPr="00C42BB8" w:rsidRDefault="00D70CD5" w:rsidP="00D70CD5">
            <w:pPr>
              <w:rPr>
                <w:rFonts w:eastAsia="Times New Roman" w:cstheme="minorHAnsi"/>
                <w:bCs/>
              </w:rPr>
            </w:pPr>
            <w:r w:rsidRPr="00C42BB8">
              <w:rPr>
                <w:rFonts w:eastAsia="Times New Roman" w:cstheme="minorHAnsi"/>
                <w:bCs/>
              </w:rPr>
              <w:t>The Plan of Service is a written document that describes and records the Member’s goals and service needs in accordance with State policy. The Plan of Service records the strategies to meet goals and interventions selected by the Member and team to support them in improving the Member’s health and wellbeing and addressing Social Determinants of Health and Independence.</w:t>
            </w:r>
          </w:p>
          <w:p w:rsidR="00D70CD5" w:rsidRPr="00C42BB8" w:rsidRDefault="00D70CD5" w:rsidP="00D70CD5">
            <w:pPr>
              <w:rPr>
                <w:rFonts w:eastAsia="Times New Roman" w:cstheme="minorHAnsi"/>
                <w:bCs/>
              </w:rPr>
            </w:pPr>
            <w:r w:rsidRPr="00C42BB8">
              <w:rPr>
                <w:rFonts w:eastAsia="Times New Roman" w:cstheme="minorHAnsi"/>
                <w:bCs/>
              </w:rPr>
              <w:t xml:space="preserve">5.4.4.1.D The Plan of Service must be compliant with the State’s Plan of Service policy, and shall include the following components: </w:t>
            </w:r>
          </w:p>
          <w:p w:rsidR="00D70CD5" w:rsidRPr="00C42BB8" w:rsidRDefault="00D70CD5" w:rsidP="00D70CD5">
            <w:pPr>
              <w:rPr>
                <w:rFonts w:eastAsia="Times New Roman" w:cstheme="minorHAnsi"/>
                <w:bCs/>
              </w:rPr>
            </w:pPr>
            <w:r w:rsidRPr="00C42BB8">
              <w:rPr>
                <w:rFonts w:eastAsia="Times New Roman" w:cstheme="minorHAnsi"/>
                <w:bCs/>
              </w:rPr>
              <w:t xml:space="preserve">1. A description of the Member’s goals, strategies to meet goals and desired health, functional and quality of life Outcomes. For youth Members, inclusion of their family’s goals and strategies shall be incorporated into the Plan of Service. </w:t>
            </w:r>
          </w:p>
          <w:p w:rsidR="00D70CD5" w:rsidRPr="00C42BB8" w:rsidRDefault="00D70CD5" w:rsidP="00D70CD5">
            <w:pPr>
              <w:rPr>
                <w:rFonts w:eastAsia="Times New Roman" w:cstheme="minorHAnsi"/>
                <w:bCs/>
              </w:rPr>
            </w:pPr>
            <w:r w:rsidRPr="00C42BB8">
              <w:rPr>
                <w:rFonts w:eastAsia="Times New Roman" w:cstheme="minorHAnsi"/>
                <w:bCs/>
              </w:rPr>
              <w:t xml:space="preserve">2. Member’s identified strengths, preferences, and any identified needs including psycho-social needs and needs related to social determinations of health and independence such as housing or financial assistance. </w:t>
            </w:r>
          </w:p>
          <w:p w:rsidR="00D70CD5" w:rsidRPr="00C42BB8" w:rsidRDefault="00D70CD5" w:rsidP="00D70CD5">
            <w:pPr>
              <w:rPr>
                <w:rFonts w:eastAsia="Times New Roman" w:cstheme="minorHAnsi"/>
                <w:bCs/>
              </w:rPr>
            </w:pPr>
            <w:r w:rsidRPr="00C42BB8">
              <w:rPr>
                <w:rFonts w:eastAsia="Times New Roman" w:cstheme="minorHAnsi"/>
                <w:bCs/>
              </w:rPr>
              <w:t xml:space="preserve">3. Any services authorized including a detailed description of the amount, scope, and duration of services needed to help meet identified needs or to achieve goals.  </w:t>
            </w:r>
          </w:p>
          <w:p w:rsidR="00D70CD5" w:rsidRPr="00C42BB8" w:rsidRDefault="00D70CD5" w:rsidP="00D70CD5">
            <w:pPr>
              <w:rPr>
                <w:rFonts w:eastAsia="Times New Roman" w:cstheme="minorHAnsi"/>
                <w:bCs/>
              </w:rPr>
            </w:pPr>
            <w:r w:rsidRPr="00C42BB8">
              <w:rPr>
                <w:rFonts w:eastAsia="Times New Roman" w:cstheme="minorHAnsi"/>
                <w:bCs/>
              </w:rPr>
              <w:t xml:space="preserve">4. Risk factors, including a Member’s understanding of risk factors and potential adverse consequences, Member’s plans to respond to adverse consequences, and additional measures in place to minimize them, when needed. </w:t>
            </w:r>
          </w:p>
          <w:p w:rsidR="00D70CD5" w:rsidRPr="00C42BB8" w:rsidRDefault="00D70CD5" w:rsidP="00D70CD5">
            <w:pPr>
              <w:rPr>
                <w:rFonts w:eastAsia="Times New Roman" w:cstheme="minorHAnsi"/>
                <w:bCs/>
              </w:rPr>
            </w:pPr>
            <w:r w:rsidRPr="00C42BB8">
              <w:rPr>
                <w:rFonts w:eastAsia="Times New Roman" w:cstheme="minorHAnsi"/>
                <w:bCs/>
              </w:rPr>
              <w:t xml:space="preserve">5. Level of Service Coordination.  </w:t>
            </w:r>
          </w:p>
          <w:p w:rsidR="00D70CD5" w:rsidRPr="00C42BB8" w:rsidRDefault="00D70CD5" w:rsidP="00D70CD5">
            <w:pPr>
              <w:rPr>
                <w:rFonts w:eastAsia="Times New Roman" w:cstheme="minorHAnsi"/>
                <w:bCs/>
              </w:rPr>
            </w:pPr>
            <w:r w:rsidRPr="00C42BB8">
              <w:rPr>
                <w:rFonts w:eastAsia="Times New Roman" w:cstheme="minorHAnsi"/>
                <w:bCs/>
              </w:rPr>
              <w:t xml:space="preserve">6. Providers and contact numbers. </w:t>
            </w:r>
          </w:p>
          <w:p w:rsidR="00D70CD5" w:rsidRPr="00C42BB8" w:rsidRDefault="00D70CD5" w:rsidP="00D70CD5">
            <w:pPr>
              <w:rPr>
                <w:rFonts w:eastAsia="Times New Roman" w:cstheme="minorHAnsi"/>
                <w:bCs/>
              </w:rPr>
            </w:pPr>
            <w:r w:rsidRPr="00C42BB8">
              <w:rPr>
                <w:rFonts w:eastAsia="Times New Roman" w:cstheme="minorHAnsi"/>
                <w:bCs/>
              </w:rPr>
              <w:t xml:space="preserve">7. Support systems, relation to Member, and contact numbers including emergency contact. </w:t>
            </w:r>
          </w:p>
          <w:p w:rsidR="00D70CD5" w:rsidRPr="00C42BB8" w:rsidRDefault="00D70CD5" w:rsidP="00D70CD5">
            <w:pPr>
              <w:rPr>
                <w:rFonts w:eastAsia="Times New Roman" w:cstheme="minorHAnsi"/>
                <w:bCs/>
              </w:rPr>
            </w:pPr>
            <w:r w:rsidRPr="00C42BB8">
              <w:rPr>
                <w:rFonts w:eastAsia="Times New Roman" w:cstheme="minorHAnsi"/>
                <w:bCs/>
              </w:rPr>
              <w:t xml:space="preserve">8. Medication list with date and dosages. </w:t>
            </w:r>
          </w:p>
          <w:p w:rsidR="00D70CD5" w:rsidRPr="00C42BB8" w:rsidRDefault="00D70CD5" w:rsidP="00D70CD5">
            <w:pPr>
              <w:rPr>
                <w:rFonts w:eastAsia="Times New Roman" w:cstheme="minorHAnsi"/>
                <w:bCs/>
              </w:rPr>
            </w:pPr>
            <w:r w:rsidRPr="00C42BB8">
              <w:rPr>
                <w:rFonts w:eastAsia="Times New Roman" w:cstheme="minorHAnsi"/>
                <w:bCs/>
              </w:rPr>
              <w:t>9. Pharmacy and number.</w:t>
            </w:r>
          </w:p>
          <w:p w:rsidR="00D70CD5" w:rsidRPr="00C42BB8" w:rsidRDefault="00D70CD5" w:rsidP="00D70CD5">
            <w:pPr>
              <w:rPr>
                <w:rFonts w:eastAsia="Times New Roman" w:cstheme="minorHAnsi"/>
                <w:bCs/>
              </w:rPr>
            </w:pPr>
            <w:r w:rsidRPr="00C42BB8">
              <w:rPr>
                <w:rFonts w:eastAsia="Times New Roman" w:cstheme="minorHAnsi"/>
                <w:bCs/>
              </w:rPr>
              <w:t xml:space="preserve">10. Primary language. </w:t>
            </w:r>
          </w:p>
          <w:p w:rsidR="00D70CD5" w:rsidRPr="00C42BB8" w:rsidRDefault="00D70CD5" w:rsidP="00D70CD5">
            <w:pPr>
              <w:rPr>
                <w:rFonts w:eastAsia="Times New Roman" w:cstheme="minorHAnsi"/>
                <w:bCs/>
              </w:rPr>
            </w:pPr>
            <w:r w:rsidRPr="00C42BB8">
              <w:rPr>
                <w:rFonts w:eastAsia="Times New Roman" w:cstheme="minorHAnsi"/>
                <w:bCs/>
              </w:rPr>
              <w:t xml:space="preserve">11. Cultural considerations. </w:t>
            </w:r>
          </w:p>
          <w:p w:rsidR="00D70CD5" w:rsidRPr="00C42BB8" w:rsidRDefault="00D70CD5" w:rsidP="00D70CD5">
            <w:pPr>
              <w:rPr>
                <w:rFonts w:eastAsia="Times New Roman" w:cstheme="minorHAnsi"/>
                <w:bCs/>
              </w:rPr>
            </w:pPr>
            <w:r w:rsidRPr="00C42BB8">
              <w:rPr>
                <w:rFonts w:eastAsia="Times New Roman" w:cstheme="minorHAnsi"/>
                <w:bCs/>
              </w:rPr>
              <w:t xml:space="preserve">12. Treatment plan as appropriate. </w:t>
            </w:r>
          </w:p>
          <w:p w:rsidR="00D70CD5" w:rsidRPr="00C42BB8" w:rsidRDefault="00D70CD5" w:rsidP="00D70CD5">
            <w:pPr>
              <w:rPr>
                <w:rFonts w:eastAsia="Times New Roman" w:cstheme="minorHAnsi"/>
                <w:bCs/>
              </w:rPr>
            </w:pPr>
            <w:r w:rsidRPr="00C42BB8">
              <w:rPr>
                <w:rFonts w:eastAsia="Times New Roman" w:cstheme="minorHAnsi"/>
                <w:bCs/>
              </w:rPr>
              <w:t xml:space="preserve">13. Date of next Service Coordination contact.  </w:t>
            </w:r>
          </w:p>
          <w:p w:rsidR="00D70CD5" w:rsidRPr="00C42BB8" w:rsidRDefault="00D70CD5" w:rsidP="00D70CD5">
            <w:pPr>
              <w:rPr>
                <w:rFonts w:eastAsia="Times New Roman" w:cstheme="minorHAnsi"/>
                <w:bCs/>
              </w:rPr>
            </w:pPr>
            <w:r w:rsidRPr="00C42BB8">
              <w:rPr>
                <w:rFonts w:eastAsia="Times New Roman" w:cstheme="minorHAnsi"/>
                <w:bCs/>
              </w:rPr>
              <w:t xml:space="preserve">14. Date of annual reassessment. </w:t>
            </w:r>
          </w:p>
          <w:p w:rsidR="00D70CD5" w:rsidRPr="00C42BB8" w:rsidRDefault="00D70CD5" w:rsidP="00D70CD5">
            <w:pPr>
              <w:rPr>
                <w:rFonts w:eastAsia="Times New Roman" w:cstheme="minorHAnsi"/>
                <w:bCs/>
              </w:rPr>
            </w:pPr>
            <w:r w:rsidRPr="00C42BB8">
              <w:rPr>
                <w:rFonts w:eastAsia="Times New Roman" w:cstheme="minorHAnsi"/>
                <w:bCs/>
              </w:rPr>
              <w:t xml:space="preserve">15. Backup plan per requirements found in 42 CFR § 441.450. </w:t>
            </w:r>
          </w:p>
          <w:p w:rsidR="00D70CD5" w:rsidRPr="00C42BB8" w:rsidRDefault="00D70CD5" w:rsidP="00D70CD5">
            <w:pPr>
              <w:rPr>
                <w:rFonts w:eastAsia="Times New Roman" w:cstheme="minorHAnsi"/>
                <w:bCs/>
              </w:rPr>
            </w:pPr>
            <w:r w:rsidRPr="00C42BB8">
              <w:rPr>
                <w:rFonts w:eastAsia="Times New Roman" w:cstheme="minorHAnsi"/>
                <w:bCs/>
              </w:rPr>
              <w:t xml:space="preserve">16. Patient liability and/or client obligation information including information about Providers to whom the Member has paid. </w:t>
            </w:r>
          </w:p>
          <w:p w:rsidR="00D70CD5" w:rsidRPr="00C42BB8" w:rsidRDefault="00D70CD5" w:rsidP="00D70CD5">
            <w:pPr>
              <w:rPr>
                <w:rFonts w:eastAsia="Times New Roman" w:cstheme="minorHAnsi"/>
                <w:bCs/>
              </w:rPr>
            </w:pPr>
            <w:r w:rsidRPr="00C42BB8">
              <w:rPr>
                <w:rFonts w:eastAsia="Times New Roman" w:cstheme="minorHAnsi"/>
                <w:bCs/>
              </w:rPr>
              <w:t xml:space="preserve">17. The Member’s eligibility start and end date. </w:t>
            </w:r>
          </w:p>
          <w:p w:rsidR="00D70CD5" w:rsidRPr="00C42BB8" w:rsidRDefault="00D70CD5" w:rsidP="00D70CD5">
            <w:pPr>
              <w:rPr>
                <w:rFonts w:eastAsia="Times New Roman" w:cstheme="minorHAnsi"/>
                <w:bCs/>
              </w:rPr>
            </w:pPr>
            <w:r w:rsidRPr="00C42BB8">
              <w:rPr>
                <w:rFonts w:eastAsia="Times New Roman" w:cstheme="minorHAnsi"/>
                <w:bCs/>
              </w:rPr>
              <w:t xml:space="preserve">18. Any specialized communication needs including interpreters or special devices required by the Member. This includes an identification of any reading challenges. </w:t>
            </w:r>
          </w:p>
          <w:p w:rsidR="00D70CD5" w:rsidRPr="00C42BB8" w:rsidRDefault="00D70CD5" w:rsidP="00D70CD5">
            <w:pPr>
              <w:rPr>
                <w:rFonts w:eastAsia="Times New Roman" w:cstheme="minorHAnsi"/>
                <w:bCs/>
              </w:rPr>
            </w:pPr>
            <w:r w:rsidRPr="00C42BB8">
              <w:rPr>
                <w:rFonts w:eastAsia="Times New Roman" w:cstheme="minorHAnsi"/>
                <w:bCs/>
              </w:rPr>
              <w:t xml:space="preserve">19. Any medical equipment used or needed by the Member. </w:t>
            </w:r>
          </w:p>
          <w:p w:rsidR="00D70CD5" w:rsidRPr="00C42BB8" w:rsidRDefault="00D70CD5" w:rsidP="00D70CD5">
            <w:pPr>
              <w:rPr>
                <w:rFonts w:eastAsia="Times New Roman" w:cstheme="minorHAnsi"/>
                <w:bCs/>
              </w:rPr>
            </w:pPr>
            <w:r w:rsidRPr="00C42BB8">
              <w:rPr>
                <w:rFonts w:eastAsia="Times New Roman" w:cstheme="minorHAnsi"/>
                <w:bCs/>
              </w:rPr>
              <w:t xml:space="preserve">20. The Member’s physical environment and any modifications necessary to ensure the Member’s health and safety. </w:t>
            </w:r>
          </w:p>
          <w:p w:rsidR="00D70CD5" w:rsidRPr="00C42BB8" w:rsidRDefault="00D70CD5" w:rsidP="00D70CD5">
            <w:pPr>
              <w:rPr>
                <w:rFonts w:eastAsia="Times New Roman" w:cstheme="minorHAnsi"/>
                <w:bCs/>
              </w:rPr>
            </w:pPr>
            <w:r w:rsidRPr="00C42BB8">
              <w:rPr>
                <w:rFonts w:eastAsia="Times New Roman" w:cstheme="minorHAnsi"/>
                <w:bCs/>
              </w:rPr>
              <w:lastRenderedPageBreak/>
              <w:t xml:space="preserve">21. Identification of who is monitoring the plan. </w:t>
            </w:r>
          </w:p>
          <w:p w:rsidR="00D70CD5" w:rsidRPr="00C42BB8" w:rsidRDefault="00D70CD5" w:rsidP="00D70CD5">
            <w:pPr>
              <w:rPr>
                <w:rFonts w:cstheme="minorHAnsi"/>
              </w:rPr>
            </w:pPr>
            <w:r w:rsidRPr="00C42BB8">
              <w:rPr>
                <w:rFonts w:eastAsia="Times New Roman" w:cstheme="minorHAnsi"/>
                <w:bCs/>
              </w:rPr>
              <w:t>22. Service coordinator name and direct contact information along with appropriate off-hours contact information.</w:t>
            </w:r>
          </w:p>
        </w:tc>
      </w:tr>
      <w:tr w:rsidR="003B363C" w:rsidRPr="00C42BB8" w:rsidTr="00972641">
        <w:tc>
          <w:tcPr>
            <w:tcW w:w="641" w:type="dxa"/>
          </w:tcPr>
          <w:p w:rsidR="003B363C" w:rsidRDefault="003B363C" w:rsidP="003B363C">
            <w:pPr>
              <w:rPr>
                <w:rFonts w:cstheme="minorHAnsi"/>
              </w:rPr>
            </w:pPr>
          </w:p>
          <w:p w:rsidR="00B2384E" w:rsidRDefault="00B2384E" w:rsidP="003B363C">
            <w:pPr>
              <w:rPr>
                <w:rFonts w:cstheme="minorHAnsi"/>
              </w:rPr>
            </w:pPr>
            <w:r>
              <w:rPr>
                <w:rFonts w:cstheme="minorHAnsi"/>
              </w:rPr>
              <w:t>2</w:t>
            </w: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Default="00B2384E" w:rsidP="003B363C">
            <w:pPr>
              <w:rPr>
                <w:rFonts w:cstheme="minorHAnsi"/>
              </w:rPr>
            </w:pPr>
          </w:p>
          <w:p w:rsidR="00B2384E" w:rsidRPr="00C42BB8" w:rsidRDefault="00B2384E" w:rsidP="003B363C">
            <w:pPr>
              <w:rPr>
                <w:rFonts w:cstheme="minorHAnsi"/>
              </w:rPr>
            </w:pPr>
            <w:r>
              <w:rPr>
                <w:rFonts w:cstheme="minorHAnsi"/>
              </w:rPr>
              <w:t>2</w:t>
            </w:r>
          </w:p>
        </w:tc>
        <w:tc>
          <w:tcPr>
            <w:tcW w:w="1893" w:type="dxa"/>
          </w:tcPr>
          <w:p w:rsidR="003B363C" w:rsidRPr="00C42BB8" w:rsidRDefault="003B363C" w:rsidP="003B363C">
            <w:pPr>
              <w:rPr>
                <w:rFonts w:cstheme="minorHAnsi"/>
                <w:b/>
              </w:rPr>
            </w:pPr>
            <w:r w:rsidRPr="00C42BB8">
              <w:rPr>
                <w:rFonts w:cstheme="minorHAnsi"/>
                <w:b/>
              </w:rPr>
              <w:lastRenderedPageBreak/>
              <w:t xml:space="preserve">Credentialing and Provider Network </w:t>
            </w:r>
          </w:p>
          <w:p w:rsidR="003B363C" w:rsidRPr="00C42BB8" w:rsidRDefault="003B363C" w:rsidP="003B363C">
            <w:pPr>
              <w:rPr>
                <w:rFonts w:cstheme="minorHAnsi"/>
                <w:b/>
              </w:rPr>
            </w:pPr>
          </w:p>
          <w:p w:rsidR="003B363C" w:rsidRPr="00C42BB8" w:rsidRDefault="003B363C" w:rsidP="003B363C">
            <w:pPr>
              <w:rPr>
                <w:rFonts w:cstheme="minorHAnsi"/>
                <w:b/>
              </w:rPr>
            </w:pPr>
          </w:p>
          <w:p w:rsidR="003B363C" w:rsidRPr="00C42BB8" w:rsidRDefault="003B363C" w:rsidP="003B363C">
            <w:pPr>
              <w:rPr>
                <w:rFonts w:cstheme="minorHAnsi"/>
                <w:b/>
              </w:rPr>
            </w:pPr>
          </w:p>
          <w:p w:rsidR="003B363C" w:rsidRPr="00C42BB8" w:rsidRDefault="003B363C" w:rsidP="003B363C">
            <w:pPr>
              <w:rPr>
                <w:rFonts w:cstheme="minorHAnsi"/>
                <w:b/>
              </w:rPr>
            </w:pPr>
          </w:p>
          <w:p w:rsidR="003B363C" w:rsidRPr="00C42BB8" w:rsidRDefault="003B363C" w:rsidP="003B363C">
            <w:pPr>
              <w:rPr>
                <w:rFonts w:cstheme="minorHAnsi"/>
                <w:b/>
              </w:rPr>
            </w:pPr>
          </w:p>
          <w:p w:rsidR="003B363C" w:rsidRPr="00C42BB8" w:rsidRDefault="003B363C" w:rsidP="003B363C">
            <w:pPr>
              <w:rPr>
                <w:rFonts w:cstheme="minorHAnsi"/>
                <w:b/>
              </w:rPr>
            </w:pPr>
          </w:p>
          <w:p w:rsidR="003B363C" w:rsidRPr="00C42BB8" w:rsidRDefault="003B363C" w:rsidP="003B363C">
            <w:pPr>
              <w:rPr>
                <w:rFonts w:cstheme="minorHAnsi"/>
                <w:b/>
              </w:rPr>
            </w:pPr>
          </w:p>
          <w:p w:rsidR="003B363C" w:rsidRPr="00C42BB8" w:rsidRDefault="003B363C" w:rsidP="003B363C">
            <w:pPr>
              <w:rPr>
                <w:rFonts w:cstheme="minorHAnsi"/>
                <w:b/>
              </w:rPr>
            </w:pPr>
          </w:p>
          <w:p w:rsidR="003B363C" w:rsidRPr="00C42BB8" w:rsidRDefault="003B363C" w:rsidP="003B363C">
            <w:pPr>
              <w:rPr>
                <w:rFonts w:cstheme="minorHAnsi"/>
                <w:b/>
              </w:rPr>
            </w:pPr>
          </w:p>
          <w:p w:rsidR="003B363C" w:rsidRPr="00C42BB8" w:rsidRDefault="003B363C" w:rsidP="003B363C">
            <w:pPr>
              <w:rPr>
                <w:rFonts w:cstheme="minorHAnsi"/>
                <w:b/>
              </w:rPr>
            </w:pPr>
          </w:p>
          <w:p w:rsidR="003B363C" w:rsidRPr="00C42BB8" w:rsidRDefault="003B363C" w:rsidP="003B363C">
            <w:pPr>
              <w:rPr>
                <w:rFonts w:cstheme="minorHAnsi"/>
                <w:b/>
              </w:rPr>
            </w:pPr>
          </w:p>
          <w:p w:rsidR="003B363C" w:rsidRPr="00C42BB8" w:rsidRDefault="003B363C" w:rsidP="003B363C">
            <w:pPr>
              <w:rPr>
                <w:rFonts w:cstheme="minorHAnsi"/>
                <w:b/>
              </w:rPr>
            </w:pPr>
          </w:p>
          <w:p w:rsidR="003B363C" w:rsidRPr="00C42BB8" w:rsidRDefault="003B363C" w:rsidP="003B363C">
            <w:pPr>
              <w:rPr>
                <w:rFonts w:cstheme="minorHAnsi"/>
                <w:b/>
              </w:rPr>
            </w:pPr>
          </w:p>
          <w:p w:rsidR="003B363C" w:rsidRPr="00C42BB8" w:rsidRDefault="003B363C" w:rsidP="003B363C">
            <w:pPr>
              <w:rPr>
                <w:rFonts w:cstheme="minorHAnsi"/>
                <w:b/>
              </w:rPr>
            </w:pPr>
            <w:r w:rsidRPr="00C42BB8">
              <w:rPr>
                <w:rFonts w:cstheme="minorHAnsi"/>
                <w:b/>
              </w:rPr>
              <w:t>Report and Geo Access Report</w:t>
            </w:r>
          </w:p>
        </w:tc>
        <w:tc>
          <w:tcPr>
            <w:tcW w:w="3774" w:type="dxa"/>
          </w:tcPr>
          <w:p w:rsidR="003B363C" w:rsidRPr="00996377" w:rsidRDefault="003B363C" w:rsidP="003B363C">
            <w:pPr>
              <w:rPr>
                <w:rFonts w:eastAsia="Times New Roman" w:cstheme="minorHAnsi"/>
              </w:rPr>
            </w:pPr>
            <w:r w:rsidRPr="00996377">
              <w:rPr>
                <w:rFonts w:eastAsia="Times New Roman" w:cstheme="minorHAnsi"/>
              </w:rPr>
              <w:t xml:space="preserve">Various Concerns including: </w:t>
            </w:r>
            <w:r w:rsidR="00045F81">
              <w:rPr>
                <w:rFonts w:eastAsia="Times New Roman" w:cstheme="minorHAnsi"/>
              </w:rPr>
              <w:t>Credentialing taking more than 90 days to complete; paperwork for credentialing delayed; providers denied as non-contracted in error</w:t>
            </w:r>
            <w:r w:rsidRPr="00996377">
              <w:rPr>
                <w:rFonts w:eastAsia="Times New Roman" w:cstheme="minorHAnsi"/>
              </w:rPr>
              <w:t>.</w:t>
            </w:r>
          </w:p>
          <w:p w:rsidR="003B363C" w:rsidRPr="00C42BB8"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p>
          <w:p w:rsidR="003B363C" w:rsidRDefault="003B363C" w:rsidP="003B363C">
            <w:pPr>
              <w:rPr>
                <w:rFonts w:cstheme="minorHAnsi"/>
              </w:rPr>
            </w:pPr>
          </w:p>
          <w:p w:rsidR="00045F81" w:rsidRPr="00C42BB8" w:rsidRDefault="00045F81"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r w:rsidRPr="00C42BB8">
              <w:rPr>
                <w:rFonts w:cstheme="minorHAnsi"/>
              </w:rPr>
              <w:t>Aetna data is discrepant, cannot determine accuracy of the report, nor network adequacy for Aetna.</w:t>
            </w:r>
          </w:p>
        </w:tc>
        <w:tc>
          <w:tcPr>
            <w:tcW w:w="1384" w:type="dxa"/>
          </w:tcPr>
          <w:p w:rsidR="003B363C" w:rsidRPr="00C42BB8" w:rsidRDefault="003B363C" w:rsidP="003B363C">
            <w:pPr>
              <w:rPr>
                <w:rFonts w:cstheme="minorHAnsi"/>
              </w:rPr>
            </w:pPr>
            <w:r w:rsidRPr="00C42BB8">
              <w:rPr>
                <w:rFonts w:cstheme="minorHAnsi"/>
              </w:rPr>
              <w:t>5.5.1.I</w:t>
            </w:r>
          </w:p>
          <w:p w:rsidR="003B363C" w:rsidRPr="00C42BB8"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p>
          <w:p w:rsidR="003B363C" w:rsidRPr="00972641" w:rsidRDefault="003B363C" w:rsidP="003B363C">
            <w:pPr>
              <w:rPr>
                <w:rFonts w:cstheme="minorHAnsi"/>
              </w:rPr>
            </w:pPr>
            <w:r w:rsidRPr="00972641">
              <w:rPr>
                <w:rFonts w:cstheme="minorHAnsi"/>
              </w:rPr>
              <w:t>5.5.2.A</w:t>
            </w:r>
          </w:p>
          <w:p w:rsidR="003B363C" w:rsidRPr="00C42BB8"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p>
          <w:p w:rsidR="003B363C"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p>
          <w:p w:rsidR="003B363C" w:rsidRPr="00C42BB8" w:rsidRDefault="003B363C" w:rsidP="003B363C">
            <w:pPr>
              <w:rPr>
                <w:rFonts w:cstheme="minorHAnsi"/>
              </w:rPr>
            </w:pPr>
            <w:r w:rsidRPr="00C42BB8">
              <w:rPr>
                <w:rFonts w:cstheme="minorHAnsi"/>
              </w:rPr>
              <w:t>RFP attachment H introduction, and report #28</w:t>
            </w:r>
          </w:p>
        </w:tc>
        <w:tc>
          <w:tcPr>
            <w:tcW w:w="11763" w:type="dxa"/>
          </w:tcPr>
          <w:p w:rsidR="003B363C" w:rsidRPr="00996377" w:rsidRDefault="003B363C" w:rsidP="003B363C">
            <w:pPr>
              <w:rPr>
                <w:rFonts w:eastAsia="Calibri" w:cstheme="minorHAnsi"/>
              </w:rPr>
            </w:pPr>
            <w:r w:rsidRPr="00996377">
              <w:rPr>
                <w:rFonts w:eastAsia="Calibri" w:cstheme="minorHAnsi"/>
              </w:rPr>
              <w:t>5.5 Provider Network</w:t>
            </w:r>
          </w:p>
          <w:p w:rsidR="003B363C" w:rsidRPr="00996377" w:rsidRDefault="003B363C" w:rsidP="003B363C">
            <w:pPr>
              <w:rPr>
                <w:rFonts w:eastAsia="Calibri" w:cstheme="minorHAnsi"/>
              </w:rPr>
            </w:pPr>
            <w:r w:rsidRPr="00996377">
              <w:rPr>
                <w:rFonts w:eastAsia="Calibri" w:cstheme="minorHAnsi"/>
              </w:rPr>
              <w:t>5.5.1 Credentialing and Re-Credentialing</w:t>
            </w:r>
          </w:p>
          <w:p w:rsidR="003B363C" w:rsidRPr="00C42BB8" w:rsidRDefault="003B363C" w:rsidP="003B363C">
            <w:pPr>
              <w:rPr>
                <w:rFonts w:eastAsia="Calibri" w:cstheme="minorHAnsi"/>
              </w:rPr>
            </w:pPr>
            <w:r w:rsidRPr="00996377">
              <w:rPr>
                <w:rFonts w:eastAsia="Calibri" w:cstheme="minorHAnsi"/>
              </w:rPr>
              <w:t>5.5.1.I Credentialing Timeframes: The CONTRACTOR(S) shall ensure that credentialing of all service Providers applying for Participating Provider status shall be completed within sixty (60) calendar days. The start time begins when all necessary credentialing materials have been received. Completion time ends when written communication is mailed or faxed to the Provider notifying them of the CONTRACTOR(S)’ decision. Credentialed Providers must be entered/loaded into the CONTRACTOR(S)’ claims payment system within thirty (30) calendar days of Credentialing Committee approval.</w:t>
            </w:r>
          </w:p>
          <w:p w:rsidR="003B363C" w:rsidRPr="00C42BB8" w:rsidRDefault="003B363C" w:rsidP="003B363C">
            <w:pPr>
              <w:rPr>
                <w:rFonts w:eastAsia="Calibri" w:cstheme="minorHAnsi"/>
              </w:rPr>
            </w:pPr>
          </w:p>
          <w:p w:rsidR="003B363C" w:rsidRPr="00C42BB8" w:rsidRDefault="003B363C" w:rsidP="003B363C">
            <w:pPr>
              <w:rPr>
                <w:rFonts w:eastAsia="Calibri" w:cstheme="minorHAnsi"/>
              </w:rPr>
            </w:pPr>
            <w:r w:rsidRPr="00C42BB8">
              <w:rPr>
                <w:rFonts w:eastAsia="Calibri" w:cstheme="minorHAnsi"/>
              </w:rPr>
              <w:t xml:space="preserve">5.5.2 Network Development </w:t>
            </w:r>
          </w:p>
          <w:p w:rsidR="003B363C" w:rsidRPr="00C42BB8" w:rsidRDefault="003B363C" w:rsidP="003B363C">
            <w:pPr>
              <w:rPr>
                <w:rFonts w:eastAsia="Calibri" w:cstheme="minorHAnsi"/>
              </w:rPr>
            </w:pPr>
            <w:r w:rsidRPr="00C42BB8">
              <w:rPr>
                <w:rFonts w:eastAsia="Calibri" w:cstheme="minorHAnsi"/>
              </w:rPr>
              <w:t xml:space="preserve">5.5.2 The CONTRACTOR(S) shall develop, maintain, and monitor a network of Providers that:  </w:t>
            </w:r>
          </w:p>
          <w:p w:rsidR="003B363C" w:rsidRPr="00C42BB8" w:rsidRDefault="003B363C" w:rsidP="003B363C">
            <w:pPr>
              <w:rPr>
                <w:rFonts w:eastAsia="Calibri" w:cstheme="minorHAnsi"/>
              </w:rPr>
            </w:pPr>
            <w:r w:rsidRPr="00C42BB8">
              <w:rPr>
                <w:rFonts w:eastAsia="Calibri" w:cstheme="minorHAnsi"/>
              </w:rPr>
              <w:t>5.5.2.A. Is supported by written agreements and is sufficient in size, scope, and types to deliver all medically necessary Covered Services and satisfy all service delivery requirements in this CONTRACT.</w:t>
            </w:r>
          </w:p>
          <w:p w:rsidR="003B363C" w:rsidRPr="00C42BB8" w:rsidRDefault="003B363C" w:rsidP="003B363C">
            <w:pPr>
              <w:rPr>
                <w:rFonts w:eastAsia="Calibri" w:cstheme="minorHAnsi"/>
              </w:rPr>
            </w:pPr>
          </w:p>
          <w:p w:rsidR="003B363C" w:rsidRPr="00996377" w:rsidRDefault="003B363C" w:rsidP="003B363C">
            <w:pPr>
              <w:rPr>
                <w:rFonts w:eastAsia="Calibri" w:cstheme="minorHAnsi"/>
              </w:rPr>
            </w:pPr>
          </w:p>
          <w:p w:rsidR="003B363C" w:rsidRPr="00C42BB8" w:rsidRDefault="003B363C" w:rsidP="003B363C">
            <w:pPr>
              <w:rPr>
                <w:rFonts w:cstheme="minorHAnsi"/>
              </w:rPr>
            </w:pPr>
          </w:p>
          <w:p w:rsidR="003B363C" w:rsidRPr="00C42BB8" w:rsidRDefault="003B363C" w:rsidP="003B363C">
            <w:pPr>
              <w:rPr>
                <w:rFonts w:cstheme="minorHAnsi"/>
              </w:rPr>
            </w:pPr>
            <w:r w:rsidRPr="00C42BB8">
              <w:rPr>
                <w:rFonts w:cstheme="minorHAnsi"/>
              </w:rPr>
              <w:t>CONTRACTOR(S) shall certify data including, but not limited to, all documents specified by the State, enrollment information, encounter data, and other information contained in contracts, proposals. The certification must attest, based on best knowledge, information, and belief as to the accuracy, completeness and truthfulness of the documents and data.</w:t>
            </w:r>
          </w:p>
          <w:p w:rsidR="003B363C" w:rsidRPr="00C42BB8" w:rsidRDefault="003B363C" w:rsidP="003B363C">
            <w:pPr>
              <w:rPr>
                <w:rFonts w:cstheme="minorHAnsi"/>
              </w:rPr>
            </w:pPr>
          </w:p>
          <w:p w:rsidR="003B363C" w:rsidRPr="00C42BB8" w:rsidRDefault="003B363C" w:rsidP="003B363C">
            <w:pPr>
              <w:autoSpaceDE w:val="0"/>
              <w:autoSpaceDN w:val="0"/>
              <w:adjustRightInd w:val="0"/>
              <w:rPr>
                <w:rFonts w:cstheme="minorHAnsi"/>
                <w:color w:val="000000"/>
              </w:rPr>
            </w:pPr>
            <w:r w:rsidRPr="00C42BB8">
              <w:rPr>
                <w:rFonts w:cstheme="minorHAnsi"/>
                <w:color w:val="000000"/>
              </w:rPr>
              <w:lastRenderedPageBreak/>
              <w:t xml:space="preserve">The CONTRACTOR(S) must provide reports for Medicaid /CHIP populations. These electronic reports must be in Excel and list all Providers’ names and addresses, including primary care Providers (PCPs), LTSS Providers, and specialists per the State-provided report template. Providers must have an indicator for open/closed panels and </w:t>
            </w:r>
          </w:p>
          <w:p w:rsidR="003B363C" w:rsidRPr="00C42BB8" w:rsidRDefault="003B363C" w:rsidP="003B363C">
            <w:pPr>
              <w:pStyle w:val="Default"/>
              <w:rPr>
                <w:rFonts w:asciiTheme="minorHAnsi" w:hAnsiTheme="minorHAnsi" w:cstheme="minorHAnsi"/>
                <w:sz w:val="22"/>
                <w:szCs w:val="22"/>
              </w:rPr>
            </w:pPr>
            <w:r w:rsidRPr="00C42BB8">
              <w:rPr>
                <w:rFonts w:asciiTheme="minorHAnsi" w:hAnsiTheme="minorHAnsi" w:cstheme="minorHAnsi"/>
                <w:sz w:val="22"/>
                <w:szCs w:val="22"/>
              </w:rPr>
              <w:t xml:space="preserve">include the number of Members assigned to each provider and provider’s maximum caseload. This will be a full file replacement per quarter. </w:t>
            </w:r>
          </w:p>
          <w:p w:rsidR="003B363C" w:rsidRPr="00C42BB8" w:rsidRDefault="003B363C" w:rsidP="003B363C">
            <w:pPr>
              <w:rPr>
                <w:rFonts w:cstheme="minorHAnsi"/>
              </w:rPr>
            </w:pPr>
          </w:p>
        </w:tc>
      </w:tr>
      <w:tr w:rsidR="00E5322B" w:rsidRPr="00C42BB8" w:rsidTr="00972641">
        <w:tc>
          <w:tcPr>
            <w:tcW w:w="641" w:type="dxa"/>
          </w:tcPr>
          <w:p w:rsidR="00E5322B" w:rsidRPr="00C42BB8" w:rsidRDefault="00B2384E" w:rsidP="00E5322B">
            <w:pPr>
              <w:rPr>
                <w:rFonts w:cstheme="minorHAnsi"/>
              </w:rPr>
            </w:pPr>
            <w:r>
              <w:rPr>
                <w:rFonts w:cstheme="minorHAnsi"/>
              </w:rPr>
              <w:lastRenderedPageBreak/>
              <w:t>3</w:t>
            </w: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Pr="00C42BB8" w:rsidRDefault="00E5322B" w:rsidP="00E5322B">
            <w:pPr>
              <w:rPr>
                <w:rFonts w:cstheme="minorHAnsi"/>
              </w:rPr>
            </w:pPr>
          </w:p>
          <w:p w:rsidR="00E5322B" w:rsidRDefault="00E5322B" w:rsidP="00E5322B">
            <w:pPr>
              <w:rPr>
                <w:rFonts w:cstheme="minorHAnsi"/>
              </w:rPr>
            </w:pPr>
          </w:p>
          <w:p w:rsidR="00E5322B" w:rsidRPr="00C42BB8" w:rsidRDefault="00E5322B" w:rsidP="00E5322B">
            <w:pPr>
              <w:rPr>
                <w:rFonts w:cstheme="minorHAnsi"/>
              </w:rPr>
            </w:pPr>
          </w:p>
        </w:tc>
        <w:tc>
          <w:tcPr>
            <w:tcW w:w="1893" w:type="dxa"/>
          </w:tcPr>
          <w:p w:rsidR="00E5322B" w:rsidRPr="00B2384E" w:rsidRDefault="00E5322B" w:rsidP="00E5322B">
            <w:pPr>
              <w:rPr>
                <w:rFonts w:cstheme="minorHAnsi"/>
                <w:b/>
              </w:rPr>
            </w:pPr>
            <w:r w:rsidRPr="00B2384E">
              <w:rPr>
                <w:rFonts w:eastAsia="Times New Roman" w:cstheme="minorHAnsi"/>
                <w:b/>
                <w:bCs/>
              </w:rPr>
              <w:t>Encounters</w:t>
            </w:r>
          </w:p>
        </w:tc>
        <w:tc>
          <w:tcPr>
            <w:tcW w:w="3774" w:type="dxa"/>
          </w:tcPr>
          <w:p w:rsidR="00E5322B" w:rsidRPr="00C42BB8" w:rsidRDefault="00E5322B" w:rsidP="00E5322B">
            <w:pPr>
              <w:rPr>
                <w:rFonts w:cstheme="minorHAnsi"/>
              </w:rPr>
            </w:pPr>
            <w:r w:rsidRPr="00C42BB8">
              <w:rPr>
                <w:rFonts w:cstheme="minorHAnsi"/>
              </w:rPr>
              <w:t>Claim Copy and Encounter Issues</w:t>
            </w:r>
          </w:p>
        </w:tc>
        <w:tc>
          <w:tcPr>
            <w:tcW w:w="1384" w:type="dxa"/>
          </w:tcPr>
          <w:p w:rsidR="00E5322B" w:rsidRPr="00C42BB8" w:rsidRDefault="00E5322B" w:rsidP="00E5322B">
            <w:pPr>
              <w:rPr>
                <w:rFonts w:eastAsia="Times New Roman" w:cstheme="minorHAnsi"/>
                <w:bCs/>
              </w:rPr>
            </w:pPr>
            <w:r w:rsidRPr="00C42BB8">
              <w:rPr>
                <w:rFonts w:eastAsia="Times New Roman" w:cstheme="minorHAnsi"/>
                <w:bCs/>
              </w:rPr>
              <w:t>Attachment J,</w:t>
            </w:r>
          </w:p>
          <w:p w:rsidR="00E5322B" w:rsidRDefault="00E5322B" w:rsidP="00E5322B">
            <w:pPr>
              <w:rPr>
                <w:rFonts w:eastAsia="Times New Roman" w:cstheme="minorHAnsi"/>
                <w:bCs/>
              </w:rPr>
            </w:pPr>
          </w:p>
          <w:p w:rsidR="00E5322B" w:rsidRDefault="00E5322B" w:rsidP="00E5322B">
            <w:pPr>
              <w:rPr>
                <w:rFonts w:eastAsia="Times New Roman" w:cstheme="minorHAnsi"/>
                <w:bCs/>
              </w:rPr>
            </w:pPr>
          </w:p>
          <w:p w:rsidR="00E5322B" w:rsidRPr="00972641" w:rsidRDefault="00E5322B" w:rsidP="00E5322B">
            <w:pPr>
              <w:rPr>
                <w:rFonts w:eastAsia="Calibri" w:cstheme="minorHAnsi"/>
              </w:rPr>
            </w:pPr>
            <w:r w:rsidRPr="00C42BB8">
              <w:rPr>
                <w:rFonts w:eastAsia="Times New Roman" w:cstheme="minorHAnsi"/>
                <w:bCs/>
              </w:rPr>
              <w:t>1.4.3</w:t>
            </w:r>
          </w:p>
        </w:tc>
        <w:tc>
          <w:tcPr>
            <w:tcW w:w="11763" w:type="dxa"/>
          </w:tcPr>
          <w:p w:rsidR="00E5322B" w:rsidRPr="00C42BB8" w:rsidRDefault="00E5322B" w:rsidP="00E5322B">
            <w:pPr>
              <w:rPr>
                <w:rFonts w:cstheme="minorHAnsi"/>
              </w:rPr>
            </w:pPr>
            <w:r w:rsidRPr="00C42BB8">
              <w:rPr>
                <w:rFonts w:cstheme="minorHAnsi"/>
              </w:rPr>
              <w:object w:dxaOrig="1544" w:dyaOrig="998" w14:anchorId="75828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625052003" r:id="rId9">
                  <o:FieldCodes>\s</o:FieldCodes>
                </o:OLEObject>
              </w:object>
            </w:r>
          </w:p>
          <w:p w:rsidR="00E5322B" w:rsidRPr="00C42BB8" w:rsidRDefault="00E5322B" w:rsidP="00E5322B">
            <w:pPr>
              <w:pStyle w:val="ListParagraph"/>
              <w:numPr>
                <w:ilvl w:val="0"/>
                <w:numId w:val="3"/>
              </w:numPr>
              <w:rPr>
                <w:rFonts w:cstheme="minorHAnsi"/>
              </w:rPr>
            </w:pPr>
            <w:r w:rsidRPr="00C42BB8">
              <w:rPr>
                <w:rFonts w:eastAsia="Times New Roman" w:cstheme="minorHAnsi"/>
                <w:bCs/>
              </w:rPr>
              <w:t xml:space="preserve">Encounter Data </w:t>
            </w:r>
            <w:r w:rsidRPr="00C42BB8">
              <w:rPr>
                <w:rFonts w:cstheme="minorHAnsi"/>
              </w:rPr>
              <w:t>The CONTRACTOR(S) shall collect service information in the federally mandated Health Insurance Portability and Accountability Act (HIPAA) transaction formats and code sets and submit this data in a standardized format approved by the State. The CONTRACTOR(S) must make all collected data available to the State after it is tested for compliance, accuracy, completeness, logic, and consistency. The CONTRACTOR(S) shall follow the encounter data protocol provided in this Attachment and the KanCare Guide located in the Bidder’s Library. Periodically, updates to the KanCare Guide will be made. The Kansas Department of Health and Environment (KDHE) will work with the Managed Care Organizations (MCOs) to develop a process that will allow a review and comment period. When updates are made to the KanCare Guide, the changes may need to take effect immediately, i.e. schedules that need to be updated periodically or annually, information that needs to be corrected or clarified and communication that needs to occur due to program changes</w:t>
            </w:r>
          </w:p>
          <w:p w:rsidR="00E5322B" w:rsidRPr="00C42BB8" w:rsidRDefault="00E5322B" w:rsidP="00E5322B">
            <w:pPr>
              <w:ind w:left="1080" w:hanging="1080"/>
              <w:rPr>
                <w:rFonts w:cstheme="minorHAnsi"/>
              </w:rPr>
            </w:pPr>
            <w:r w:rsidRPr="00C42BB8">
              <w:rPr>
                <w:rFonts w:cstheme="minorHAnsi"/>
              </w:rPr>
              <w:t>1.4.3 Timeliness</w:t>
            </w:r>
          </w:p>
          <w:p w:rsidR="00E5322B" w:rsidRPr="00C42BB8" w:rsidRDefault="00E5322B" w:rsidP="00E5322B">
            <w:pPr>
              <w:ind w:left="1080"/>
              <w:rPr>
                <w:rFonts w:cstheme="minorHAnsi"/>
              </w:rPr>
            </w:pPr>
            <w:r w:rsidRPr="00C42BB8">
              <w:rPr>
                <w:rFonts w:cstheme="minorHAnsi"/>
              </w:rPr>
              <w:t xml:space="preserve">Encounter data shall be submitted within 30 days of claim payment. All encounters must be submitted, both paid and denied claims. The paid claims must include the CONTRACTOR(S)’ paid amount. </w:t>
            </w:r>
          </w:p>
          <w:p w:rsidR="00E5322B" w:rsidRPr="00C42BB8" w:rsidRDefault="00E5322B" w:rsidP="00E5322B">
            <w:pPr>
              <w:pStyle w:val="ListParagraph"/>
              <w:ind w:left="360"/>
              <w:rPr>
                <w:rFonts w:cstheme="minorHAnsi"/>
              </w:rPr>
            </w:pPr>
          </w:p>
          <w:p w:rsidR="00E5322B" w:rsidRPr="00972641" w:rsidRDefault="00E5322B" w:rsidP="00E5322B">
            <w:pPr>
              <w:rPr>
                <w:rFonts w:eastAsia="Calibri" w:cstheme="minorHAnsi"/>
              </w:rPr>
            </w:pPr>
          </w:p>
        </w:tc>
      </w:tr>
      <w:tr w:rsidR="00E40AFA" w:rsidRPr="00C42BB8" w:rsidTr="00972641">
        <w:tc>
          <w:tcPr>
            <w:tcW w:w="641" w:type="dxa"/>
          </w:tcPr>
          <w:p w:rsidR="00E40AFA" w:rsidRDefault="00B2384E" w:rsidP="00E40AFA">
            <w:pPr>
              <w:rPr>
                <w:rFonts w:cstheme="minorHAnsi"/>
              </w:rPr>
            </w:pPr>
            <w:r>
              <w:rPr>
                <w:rFonts w:cstheme="minorHAnsi"/>
              </w:rPr>
              <w:t>4</w:t>
            </w: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Pr="00C42BB8" w:rsidRDefault="00B2384E" w:rsidP="00E40AFA">
            <w:pPr>
              <w:rPr>
                <w:rFonts w:cstheme="minorHAnsi"/>
              </w:rPr>
            </w:pPr>
            <w:r>
              <w:rPr>
                <w:rFonts w:cstheme="minorHAnsi"/>
              </w:rPr>
              <w:t>4</w:t>
            </w:r>
          </w:p>
        </w:tc>
        <w:tc>
          <w:tcPr>
            <w:tcW w:w="1893" w:type="dxa"/>
          </w:tcPr>
          <w:p w:rsidR="00E40AFA" w:rsidRPr="00B2384E" w:rsidRDefault="00E40AFA" w:rsidP="00E40AFA">
            <w:pPr>
              <w:rPr>
                <w:rFonts w:cstheme="minorHAnsi"/>
                <w:b/>
              </w:rPr>
            </w:pPr>
            <w:r w:rsidRPr="00B2384E">
              <w:rPr>
                <w:rFonts w:cstheme="minorHAnsi"/>
                <w:b/>
              </w:rPr>
              <w:lastRenderedPageBreak/>
              <w:t>Authorizations that Include Client Obligation</w:t>
            </w:r>
          </w:p>
        </w:tc>
        <w:tc>
          <w:tcPr>
            <w:tcW w:w="3774" w:type="dxa"/>
          </w:tcPr>
          <w:p w:rsidR="00E40AFA" w:rsidRPr="001071FE" w:rsidRDefault="00E40AFA" w:rsidP="00E40AFA">
            <w:pPr>
              <w:rPr>
                <w:rFonts w:cstheme="minorHAnsi"/>
              </w:rPr>
            </w:pPr>
            <w:r w:rsidRPr="00C42BB8">
              <w:rPr>
                <w:rFonts w:cstheme="minorHAnsi"/>
              </w:rPr>
              <w:t>Authorizations for members with client obligation were not built correctly in the Aetna system.</w:t>
            </w:r>
            <w:r>
              <w:rPr>
                <w:rFonts w:cstheme="minorHAnsi"/>
                <w:color w:val="FF0000"/>
              </w:rPr>
              <w:t xml:space="preserve">  </w:t>
            </w:r>
            <w:r w:rsidR="00045F81">
              <w:rPr>
                <w:rFonts w:cstheme="minorHAnsi"/>
              </w:rPr>
              <w:t>System</w:t>
            </w:r>
            <w:r w:rsidRPr="00B2384E">
              <w:rPr>
                <w:rFonts w:cstheme="minorHAnsi"/>
              </w:rPr>
              <w:t xml:space="preserve"> failed to edit for authorizations, causing no claim to </w:t>
            </w:r>
            <w:r w:rsidRPr="00B2384E">
              <w:rPr>
                <w:rFonts w:cstheme="minorHAnsi"/>
              </w:rPr>
              <w:lastRenderedPageBreak/>
              <w:t>stop and deduct the client obligation indicated on authorizations.</w:t>
            </w:r>
          </w:p>
        </w:tc>
        <w:tc>
          <w:tcPr>
            <w:tcW w:w="1384" w:type="dxa"/>
          </w:tcPr>
          <w:p w:rsidR="00E40AFA" w:rsidRPr="00C42BB8" w:rsidRDefault="00E40AFA" w:rsidP="00E40AFA">
            <w:pPr>
              <w:rPr>
                <w:rFonts w:cstheme="minorHAnsi"/>
              </w:rPr>
            </w:pPr>
            <w:r w:rsidRPr="00C42BB8">
              <w:rPr>
                <w:rFonts w:cstheme="minorHAnsi"/>
              </w:rPr>
              <w:lastRenderedPageBreak/>
              <w:t>Attachment I</w:t>
            </w:r>
          </w:p>
          <w:p w:rsidR="00E40AFA" w:rsidRDefault="00E40AFA" w:rsidP="00E40AFA">
            <w:pPr>
              <w:rPr>
                <w:rFonts w:cstheme="minorHAnsi"/>
              </w:rPr>
            </w:pPr>
          </w:p>
          <w:p w:rsidR="00E40AFA" w:rsidRDefault="00E40AFA" w:rsidP="00E40AFA">
            <w:pPr>
              <w:rPr>
                <w:rFonts w:cstheme="minorHAnsi"/>
              </w:rPr>
            </w:pPr>
          </w:p>
          <w:p w:rsidR="00E40AFA" w:rsidRPr="00C42BB8" w:rsidRDefault="00E40AFA" w:rsidP="00E40AFA">
            <w:pPr>
              <w:rPr>
                <w:rFonts w:cstheme="minorHAnsi"/>
              </w:rPr>
            </w:pPr>
            <w:r w:rsidRPr="00C42BB8">
              <w:rPr>
                <w:rFonts w:cstheme="minorHAnsi"/>
              </w:rPr>
              <w:t>Section 2.1.4</w:t>
            </w:r>
          </w:p>
          <w:p w:rsidR="00E40AFA" w:rsidRDefault="00E40AFA" w:rsidP="00E40AFA">
            <w:pPr>
              <w:rPr>
                <w:rFonts w:cstheme="minorHAnsi"/>
              </w:rPr>
            </w:pPr>
          </w:p>
          <w:p w:rsidR="00E40AFA" w:rsidRDefault="00E40AFA" w:rsidP="00E40AFA">
            <w:pPr>
              <w:rPr>
                <w:rFonts w:cstheme="minorHAnsi"/>
              </w:rPr>
            </w:pPr>
          </w:p>
          <w:p w:rsidR="00E40AFA" w:rsidRDefault="00E40AFA" w:rsidP="00E40AFA">
            <w:pPr>
              <w:rPr>
                <w:rFonts w:cstheme="minorHAnsi"/>
              </w:rPr>
            </w:pPr>
          </w:p>
          <w:p w:rsidR="00E40AFA" w:rsidRDefault="00E40AFA" w:rsidP="00E40AFA">
            <w:pPr>
              <w:rPr>
                <w:rFonts w:cstheme="minorHAnsi"/>
              </w:rPr>
            </w:pPr>
          </w:p>
          <w:p w:rsidR="00E40AFA" w:rsidRPr="00C42BB8" w:rsidRDefault="00E40AFA" w:rsidP="00E40AFA">
            <w:pPr>
              <w:rPr>
                <w:rFonts w:cstheme="minorHAnsi"/>
              </w:rPr>
            </w:pPr>
            <w:r w:rsidRPr="00C42BB8">
              <w:rPr>
                <w:rFonts w:cstheme="minorHAnsi"/>
              </w:rPr>
              <w:t xml:space="preserve">Section 3.1.22 and </w:t>
            </w:r>
          </w:p>
          <w:p w:rsidR="00E40AFA" w:rsidRPr="001071FE" w:rsidRDefault="00E40AFA" w:rsidP="00E40AFA">
            <w:pPr>
              <w:rPr>
                <w:rFonts w:cstheme="minorHAnsi"/>
              </w:rPr>
            </w:pPr>
            <w:r w:rsidRPr="00C42BB8">
              <w:rPr>
                <w:rFonts w:cstheme="minorHAnsi"/>
              </w:rPr>
              <w:t>3.1.24</w:t>
            </w:r>
          </w:p>
        </w:tc>
        <w:tc>
          <w:tcPr>
            <w:tcW w:w="11763" w:type="dxa"/>
          </w:tcPr>
          <w:p w:rsidR="00E40AFA" w:rsidRPr="00C42BB8" w:rsidRDefault="00E40AFA" w:rsidP="00E40AFA">
            <w:pPr>
              <w:rPr>
                <w:rFonts w:eastAsia="Calibri" w:cstheme="minorHAnsi"/>
              </w:rPr>
            </w:pPr>
            <w:r w:rsidRPr="006732B8">
              <w:rPr>
                <w:rFonts w:eastAsia="Calibri" w:cstheme="minorHAnsi"/>
              </w:rPr>
              <w:object w:dxaOrig="1544" w:dyaOrig="998" w14:anchorId="295355D2">
                <v:shape id="_x0000_i1026" type="#_x0000_t75" style="width:77.25pt;height:50.25pt" o:ole="">
                  <v:imagedata r:id="rId10" o:title=""/>
                </v:shape>
                <o:OLEObject Type="Embed" ProgID="Word.Document.12" ShapeID="_x0000_i1026" DrawAspect="Icon" ObjectID="_1625052004" r:id="rId11">
                  <o:FieldCodes>\s</o:FieldCodes>
                </o:OLEObject>
              </w:object>
            </w:r>
          </w:p>
          <w:p w:rsidR="00E40AFA" w:rsidRPr="00C42BB8" w:rsidRDefault="00E40AFA" w:rsidP="00E40AFA">
            <w:pPr>
              <w:pStyle w:val="Default"/>
              <w:rPr>
                <w:rFonts w:asciiTheme="minorHAnsi" w:hAnsiTheme="minorHAnsi" w:cstheme="minorHAnsi"/>
                <w:sz w:val="22"/>
                <w:szCs w:val="22"/>
              </w:rPr>
            </w:pPr>
            <w:r w:rsidRPr="00C42BB8">
              <w:rPr>
                <w:rFonts w:asciiTheme="minorHAnsi" w:hAnsiTheme="minorHAnsi" w:cstheme="minorHAnsi"/>
                <w:b/>
                <w:bCs/>
                <w:sz w:val="22"/>
                <w:szCs w:val="22"/>
              </w:rPr>
              <w:t xml:space="preserve">2.0 Pricing and Financial </w:t>
            </w:r>
          </w:p>
          <w:p w:rsidR="00E40AFA" w:rsidRPr="00C42BB8" w:rsidRDefault="00E40AFA" w:rsidP="00E40AFA">
            <w:pPr>
              <w:pStyle w:val="Default"/>
              <w:rPr>
                <w:rFonts w:asciiTheme="minorHAnsi" w:hAnsiTheme="minorHAnsi" w:cstheme="minorHAnsi"/>
                <w:sz w:val="22"/>
                <w:szCs w:val="22"/>
              </w:rPr>
            </w:pPr>
            <w:r w:rsidRPr="00C42BB8">
              <w:rPr>
                <w:rFonts w:asciiTheme="minorHAnsi" w:hAnsiTheme="minorHAnsi" w:cstheme="minorHAnsi"/>
                <w:sz w:val="22"/>
                <w:szCs w:val="22"/>
              </w:rPr>
              <w:lastRenderedPageBreak/>
              <w:t>2.1 Processing Requirements</w:t>
            </w:r>
          </w:p>
          <w:p w:rsidR="00E40AFA" w:rsidRPr="00C42BB8" w:rsidRDefault="00E40AFA" w:rsidP="00E40AFA">
            <w:pPr>
              <w:pStyle w:val="Default"/>
              <w:rPr>
                <w:rFonts w:asciiTheme="minorHAnsi" w:hAnsiTheme="minorHAnsi" w:cstheme="minorHAnsi"/>
                <w:sz w:val="22"/>
                <w:szCs w:val="22"/>
              </w:rPr>
            </w:pPr>
            <w:r w:rsidRPr="00C42BB8">
              <w:rPr>
                <w:rFonts w:asciiTheme="minorHAnsi" w:hAnsiTheme="minorHAnsi" w:cstheme="minorHAnsi"/>
                <w:sz w:val="22"/>
                <w:szCs w:val="22"/>
              </w:rPr>
              <w:t xml:space="preserve">2.1.4 Deduct Member responsibility amounts (patient liability, client obligations, and spenddown) according to State guidelines when pricing claims. </w:t>
            </w:r>
          </w:p>
          <w:p w:rsidR="00E40AFA" w:rsidRPr="00C42BB8" w:rsidRDefault="00E40AFA" w:rsidP="00E40AFA">
            <w:pPr>
              <w:pStyle w:val="Default"/>
              <w:rPr>
                <w:rFonts w:asciiTheme="minorHAnsi" w:hAnsiTheme="minorHAnsi" w:cstheme="minorHAnsi"/>
                <w:sz w:val="22"/>
                <w:szCs w:val="22"/>
              </w:rPr>
            </w:pPr>
          </w:p>
          <w:p w:rsidR="00E40AFA" w:rsidRPr="00C42BB8" w:rsidRDefault="00E40AFA" w:rsidP="00E40AFA">
            <w:pPr>
              <w:pStyle w:val="Default"/>
              <w:rPr>
                <w:rFonts w:asciiTheme="minorHAnsi" w:hAnsiTheme="minorHAnsi" w:cstheme="minorHAnsi"/>
                <w:sz w:val="22"/>
                <w:szCs w:val="22"/>
              </w:rPr>
            </w:pPr>
            <w:r w:rsidRPr="00C42BB8">
              <w:rPr>
                <w:rFonts w:asciiTheme="minorHAnsi" w:hAnsiTheme="minorHAnsi" w:cstheme="minorHAnsi"/>
                <w:b/>
                <w:bCs/>
                <w:sz w:val="22"/>
                <w:szCs w:val="22"/>
              </w:rPr>
              <w:t xml:space="preserve">3.0 Adjudication </w:t>
            </w:r>
          </w:p>
          <w:p w:rsidR="00E40AFA" w:rsidRPr="00C42BB8" w:rsidRDefault="00E40AFA" w:rsidP="00E40AFA">
            <w:pPr>
              <w:pStyle w:val="Default"/>
              <w:rPr>
                <w:rFonts w:asciiTheme="minorHAnsi" w:hAnsiTheme="minorHAnsi" w:cstheme="minorHAnsi"/>
                <w:sz w:val="22"/>
                <w:szCs w:val="22"/>
              </w:rPr>
            </w:pPr>
            <w:r w:rsidRPr="00C42BB8">
              <w:rPr>
                <w:rFonts w:asciiTheme="minorHAnsi" w:hAnsiTheme="minorHAnsi" w:cstheme="minorHAnsi"/>
                <w:sz w:val="22"/>
                <w:szCs w:val="22"/>
              </w:rPr>
              <w:t>3.1 Edit/Audit Processing Requirements</w:t>
            </w:r>
          </w:p>
          <w:p w:rsidR="00E40AFA" w:rsidRPr="00C42BB8" w:rsidRDefault="00E40AFA" w:rsidP="00E40AFA">
            <w:pPr>
              <w:pStyle w:val="Default"/>
              <w:spacing w:after="36"/>
              <w:rPr>
                <w:rFonts w:asciiTheme="minorHAnsi" w:hAnsiTheme="minorHAnsi" w:cstheme="minorHAnsi"/>
                <w:sz w:val="22"/>
                <w:szCs w:val="22"/>
              </w:rPr>
            </w:pPr>
            <w:r w:rsidRPr="00C42BB8">
              <w:rPr>
                <w:rFonts w:asciiTheme="minorHAnsi" w:hAnsiTheme="minorHAnsi" w:cstheme="minorHAnsi"/>
                <w:sz w:val="22"/>
                <w:szCs w:val="22"/>
              </w:rPr>
              <w:t xml:space="preserve">3.1.22 Edit for prior authorization (PA) requirements and that the claim matches to an active PA for the date of service. </w:t>
            </w:r>
          </w:p>
          <w:p w:rsidR="00E40AFA" w:rsidRPr="00C42BB8" w:rsidRDefault="00E40AFA" w:rsidP="00E40AFA">
            <w:pPr>
              <w:pStyle w:val="Default"/>
              <w:rPr>
                <w:rFonts w:asciiTheme="minorHAnsi" w:hAnsiTheme="minorHAnsi" w:cstheme="minorHAnsi"/>
                <w:sz w:val="22"/>
                <w:szCs w:val="22"/>
              </w:rPr>
            </w:pPr>
            <w:r w:rsidRPr="00C42BB8">
              <w:rPr>
                <w:rFonts w:asciiTheme="minorHAnsi" w:hAnsiTheme="minorHAnsi" w:cstheme="minorHAnsi"/>
                <w:sz w:val="22"/>
                <w:szCs w:val="22"/>
              </w:rPr>
              <w:t xml:space="preserve">3.1.24 Update the PA record to reflect the service(s) paid and to update the number of services or dollars remaining to be used on the record. </w:t>
            </w:r>
          </w:p>
          <w:p w:rsidR="00E40AFA" w:rsidRPr="00C42BB8" w:rsidRDefault="00E40AFA" w:rsidP="00E40AFA">
            <w:pPr>
              <w:pStyle w:val="Default"/>
              <w:rPr>
                <w:rFonts w:asciiTheme="minorHAnsi" w:hAnsiTheme="minorHAnsi" w:cstheme="minorHAnsi"/>
                <w:sz w:val="22"/>
                <w:szCs w:val="22"/>
              </w:rPr>
            </w:pPr>
          </w:p>
          <w:p w:rsidR="00E40AFA" w:rsidRPr="001071FE" w:rsidRDefault="00E40AFA" w:rsidP="00E40AFA">
            <w:pPr>
              <w:rPr>
                <w:rFonts w:eastAsia="Calibri" w:cstheme="minorHAnsi"/>
              </w:rPr>
            </w:pPr>
          </w:p>
        </w:tc>
      </w:tr>
      <w:tr w:rsidR="00E40AFA" w:rsidRPr="00C42BB8" w:rsidTr="00972641">
        <w:tc>
          <w:tcPr>
            <w:tcW w:w="641" w:type="dxa"/>
          </w:tcPr>
          <w:p w:rsidR="00E40AFA" w:rsidRDefault="00B2384E" w:rsidP="00E40AFA">
            <w:pPr>
              <w:rPr>
                <w:rFonts w:cstheme="minorHAnsi"/>
              </w:rPr>
            </w:pPr>
            <w:r>
              <w:rPr>
                <w:rFonts w:cstheme="minorHAnsi"/>
              </w:rPr>
              <w:lastRenderedPageBreak/>
              <w:t>5</w:t>
            </w: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Default="00B2384E" w:rsidP="00E40AFA">
            <w:pPr>
              <w:rPr>
                <w:rFonts w:cstheme="minorHAnsi"/>
              </w:rPr>
            </w:pPr>
          </w:p>
          <w:p w:rsidR="00B2384E" w:rsidRPr="00C42BB8" w:rsidRDefault="00B2384E" w:rsidP="00E40AFA">
            <w:pPr>
              <w:rPr>
                <w:rFonts w:cstheme="minorHAnsi"/>
              </w:rPr>
            </w:pPr>
            <w:r>
              <w:rPr>
                <w:rFonts w:cstheme="minorHAnsi"/>
              </w:rPr>
              <w:t>5</w:t>
            </w:r>
          </w:p>
        </w:tc>
        <w:tc>
          <w:tcPr>
            <w:tcW w:w="1893" w:type="dxa"/>
          </w:tcPr>
          <w:p w:rsidR="00E40AFA" w:rsidRPr="00C42BB8" w:rsidRDefault="00E40AFA" w:rsidP="00E40AFA">
            <w:pPr>
              <w:rPr>
                <w:rFonts w:eastAsia="Times New Roman" w:cstheme="minorHAnsi"/>
                <w:bCs/>
              </w:rPr>
            </w:pPr>
            <w:r w:rsidRPr="00C42BB8">
              <w:rPr>
                <w:rFonts w:cstheme="minorHAnsi"/>
                <w:b/>
              </w:rPr>
              <w:lastRenderedPageBreak/>
              <w:t>Claims with Client Obligation</w:t>
            </w:r>
          </w:p>
        </w:tc>
        <w:tc>
          <w:tcPr>
            <w:tcW w:w="3774" w:type="dxa"/>
          </w:tcPr>
          <w:p w:rsidR="00E40AFA" w:rsidRPr="001071FE" w:rsidRDefault="00E40AFA" w:rsidP="00E40AFA">
            <w:pPr>
              <w:rPr>
                <w:rFonts w:cstheme="minorHAnsi"/>
              </w:rPr>
            </w:pPr>
            <w:r w:rsidRPr="001071FE">
              <w:rPr>
                <w:rFonts w:cstheme="minorHAnsi"/>
              </w:rPr>
              <w:t xml:space="preserve">Client obligation is either being incorrectly applied, or not applied. </w:t>
            </w:r>
            <w:r w:rsidR="002B050D">
              <w:rPr>
                <w:rFonts w:cstheme="minorHAnsi"/>
              </w:rPr>
              <w:t xml:space="preserve"> Processors did not have proper instructions to deduct the amounts.</w:t>
            </w:r>
            <w:r w:rsidRPr="001071FE">
              <w:rPr>
                <w:rFonts w:cstheme="minorHAnsi"/>
              </w:rPr>
              <w:t xml:space="preserve"> This creates a huge administrative burden for providers when claims need to be reprocessed.</w:t>
            </w:r>
          </w:p>
          <w:p w:rsidR="00E40AFA" w:rsidRPr="00C42BB8" w:rsidRDefault="00E40AFA" w:rsidP="00E40AFA">
            <w:pPr>
              <w:rPr>
                <w:rFonts w:cstheme="minorHAnsi"/>
              </w:rPr>
            </w:pPr>
          </w:p>
        </w:tc>
        <w:tc>
          <w:tcPr>
            <w:tcW w:w="1384" w:type="dxa"/>
          </w:tcPr>
          <w:p w:rsidR="00E40AFA" w:rsidRPr="001071FE" w:rsidRDefault="00E40AFA" w:rsidP="00E40AFA">
            <w:pPr>
              <w:rPr>
                <w:rFonts w:cstheme="minorHAnsi"/>
              </w:rPr>
            </w:pPr>
            <w:r w:rsidRPr="001071FE">
              <w:rPr>
                <w:rFonts w:cstheme="minorHAnsi"/>
              </w:rPr>
              <w:t>5.14.1.f.1.B</w:t>
            </w: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r w:rsidRPr="00C42BB8">
              <w:rPr>
                <w:rFonts w:cstheme="minorHAnsi"/>
              </w:rPr>
              <w:t>Attachment I</w:t>
            </w:r>
          </w:p>
          <w:p w:rsidR="00E40AFA" w:rsidRPr="00C42BB8" w:rsidRDefault="00E40AFA" w:rsidP="00E40AFA">
            <w:pPr>
              <w:rPr>
                <w:rFonts w:cstheme="minorHAnsi"/>
              </w:rPr>
            </w:pPr>
          </w:p>
          <w:p w:rsidR="00E40AFA" w:rsidRPr="00C42BB8" w:rsidRDefault="00E40AFA" w:rsidP="00E40AFA">
            <w:pPr>
              <w:rPr>
                <w:rFonts w:cstheme="minorHAnsi"/>
              </w:rPr>
            </w:pPr>
            <w:r w:rsidRPr="00C42BB8">
              <w:rPr>
                <w:rFonts w:cstheme="minorHAnsi"/>
              </w:rPr>
              <w:lastRenderedPageBreak/>
              <w:t>2.1.4 (in Attach I).</w:t>
            </w: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DB7DCA" w:rsidRDefault="00E40AFA" w:rsidP="00E40AFA">
            <w:pPr>
              <w:rPr>
                <w:rFonts w:cstheme="minorHAnsi"/>
              </w:rPr>
            </w:pPr>
            <w:r w:rsidRPr="00DB7DCA">
              <w:rPr>
                <w:rFonts w:cstheme="minorHAnsi"/>
              </w:rPr>
              <w:t>3.3.1 (in Attach I).</w:t>
            </w:r>
          </w:p>
          <w:p w:rsidR="00E40AFA" w:rsidRPr="00C42BB8" w:rsidRDefault="00E40AFA" w:rsidP="00E40AFA">
            <w:pPr>
              <w:rPr>
                <w:rFonts w:eastAsia="Times New Roman" w:cstheme="minorHAnsi"/>
                <w:bCs/>
              </w:rPr>
            </w:pPr>
          </w:p>
        </w:tc>
        <w:tc>
          <w:tcPr>
            <w:tcW w:w="11763" w:type="dxa"/>
          </w:tcPr>
          <w:p w:rsidR="00E40AFA" w:rsidRPr="001071FE" w:rsidRDefault="00E40AFA" w:rsidP="00E40AFA">
            <w:pPr>
              <w:rPr>
                <w:rFonts w:eastAsia="Calibri" w:cstheme="minorHAnsi"/>
              </w:rPr>
            </w:pPr>
            <w:r w:rsidRPr="001071FE">
              <w:rPr>
                <w:rFonts w:eastAsia="Calibri" w:cstheme="minorHAnsi"/>
              </w:rPr>
              <w:lastRenderedPageBreak/>
              <w:t>5.14 Claims Management</w:t>
            </w:r>
          </w:p>
          <w:p w:rsidR="00E40AFA" w:rsidRPr="001071FE" w:rsidRDefault="00E40AFA" w:rsidP="00E40AFA">
            <w:pPr>
              <w:rPr>
                <w:rFonts w:eastAsia="Calibri" w:cstheme="minorHAnsi"/>
              </w:rPr>
            </w:pPr>
            <w:r w:rsidRPr="001071FE">
              <w:rPr>
                <w:rFonts w:eastAsia="Calibri" w:cstheme="minorHAnsi"/>
              </w:rPr>
              <w:t>5.14.1 Timely Claims Processing</w:t>
            </w:r>
          </w:p>
          <w:p w:rsidR="00E40AFA" w:rsidRPr="001071FE" w:rsidRDefault="00E40AFA" w:rsidP="00E40AFA">
            <w:pPr>
              <w:rPr>
                <w:rFonts w:eastAsia="Calibri" w:cstheme="minorHAnsi"/>
              </w:rPr>
            </w:pPr>
            <w:r w:rsidRPr="001071FE">
              <w:rPr>
                <w:rFonts w:eastAsia="Calibri" w:cstheme="minorHAnsi"/>
              </w:rPr>
              <w:t xml:space="preserve">The CONTRACTOR(S) may enter into any payment arrangement with Providers that adequately reimburses Providers for services and supports integrated, coordinated care, including shared saving arrangements to the extent that they do not conflict with Federal or State regulations. However, the CONTRACTOR(S) must pay all claims timely and accurately. The CONTRACTOR(S) is responsible for submitting information about services rendered and reimbursed in the HIPAA-required formats specified in the 837 Institutional Claim and Encounter Transactions, the 837 Professional Services Claim and Encounter Transactions companion guides, the 837 Dental Services Claim and Encounter Transactions and National Council for Prescription Drug Programs (NCPDP) standards, all of which can be found under Publications, HIPAA Companion Guides, at this website: https://www.kmap-state-ks.us/. </w:t>
            </w:r>
          </w:p>
          <w:p w:rsidR="00E40AFA" w:rsidRPr="00DB7DCA" w:rsidRDefault="00E40AFA" w:rsidP="00E40AFA">
            <w:pPr>
              <w:rPr>
                <w:rFonts w:eastAsia="Calibri" w:cstheme="minorHAnsi"/>
              </w:rPr>
            </w:pPr>
            <w:r w:rsidRPr="00DB7DCA">
              <w:rPr>
                <w:rFonts w:eastAsia="Calibri" w:cstheme="minorHAnsi"/>
              </w:rPr>
              <w:t>CONTRACTOR(S) shall implement the claims processing requirements set out in Attachment I: KanCare Claims Processing Requirements.</w:t>
            </w:r>
          </w:p>
          <w:p w:rsidR="00E40AFA" w:rsidRPr="00DB7DCA" w:rsidRDefault="00E40AFA" w:rsidP="00E40AFA">
            <w:pPr>
              <w:rPr>
                <w:rFonts w:eastAsia="Calibri" w:cstheme="minorHAnsi"/>
              </w:rPr>
            </w:pPr>
            <w:r w:rsidRPr="00DB7DCA">
              <w:rPr>
                <w:rFonts w:eastAsia="Calibri" w:cstheme="minorHAnsi"/>
              </w:rPr>
              <w:t xml:space="preserve">F. Nursing Facilities </w:t>
            </w:r>
          </w:p>
          <w:p w:rsidR="00E40AFA" w:rsidRPr="00DB7DCA" w:rsidRDefault="00E40AFA" w:rsidP="00E40AFA">
            <w:pPr>
              <w:rPr>
                <w:rFonts w:eastAsia="Calibri" w:cstheme="minorHAnsi"/>
              </w:rPr>
            </w:pPr>
            <w:r w:rsidRPr="00DB7DCA">
              <w:rPr>
                <w:rFonts w:eastAsia="Calibri" w:cstheme="minorHAnsi"/>
              </w:rPr>
              <w:t xml:space="preserve">1. The CONTRACTOR(S) shall: </w:t>
            </w:r>
          </w:p>
          <w:p w:rsidR="00E40AFA" w:rsidRPr="00DB7DCA" w:rsidRDefault="00E40AFA" w:rsidP="00E40AFA">
            <w:pPr>
              <w:rPr>
                <w:rFonts w:eastAsia="Calibri" w:cstheme="minorHAnsi"/>
              </w:rPr>
            </w:pPr>
            <w:r w:rsidRPr="00C42BB8">
              <w:rPr>
                <w:rFonts w:eastAsia="Calibri" w:cstheme="minorHAnsi"/>
              </w:rPr>
              <w:t>B</w:t>
            </w:r>
            <w:r w:rsidRPr="00DB7DCA">
              <w:rPr>
                <w:rFonts w:eastAsia="Calibri" w:cstheme="minorHAnsi"/>
              </w:rPr>
              <w:t>. Edit claims and claims systems based on patient liability deductions.</w:t>
            </w:r>
          </w:p>
          <w:p w:rsidR="00E40AFA" w:rsidRPr="00C42BB8" w:rsidRDefault="00E40AFA" w:rsidP="00E40AFA">
            <w:pPr>
              <w:rPr>
                <w:rFonts w:cstheme="minorHAnsi"/>
              </w:rPr>
            </w:pPr>
          </w:p>
          <w:p w:rsidR="00E40AFA" w:rsidRPr="00C42BB8" w:rsidRDefault="00E40AFA" w:rsidP="00E40AFA">
            <w:pPr>
              <w:rPr>
                <w:rFonts w:cstheme="minorHAnsi"/>
              </w:rPr>
            </w:pPr>
            <w:r w:rsidRPr="00C42BB8">
              <w:rPr>
                <w:rFonts w:eastAsia="Calibri" w:cstheme="minorHAnsi"/>
              </w:rPr>
              <w:object w:dxaOrig="1544" w:dyaOrig="998" w14:anchorId="3A50FB1E">
                <v:shape id="_x0000_i1027" type="#_x0000_t75" style="width:77.25pt;height:50.25pt" o:ole="">
                  <v:imagedata r:id="rId10" o:title=""/>
                </v:shape>
                <o:OLEObject Type="Embed" ProgID="Word.Document.12" ShapeID="_x0000_i1027" DrawAspect="Icon" ObjectID="_1625052005" r:id="rId12">
                  <o:FieldCodes>\s</o:FieldCodes>
                </o:OLEObject>
              </w:object>
            </w:r>
          </w:p>
          <w:p w:rsidR="00E40AFA" w:rsidRPr="00DB7DCA" w:rsidRDefault="00E40AFA" w:rsidP="00E40AFA">
            <w:pPr>
              <w:rPr>
                <w:rFonts w:eastAsia="Calibri" w:cstheme="minorHAnsi"/>
                <w:b/>
              </w:rPr>
            </w:pPr>
            <w:r w:rsidRPr="00DB7DCA">
              <w:rPr>
                <w:rFonts w:eastAsia="Calibri" w:cstheme="minorHAnsi"/>
                <w:b/>
              </w:rPr>
              <w:t xml:space="preserve">2.0 Pricing and Financial </w:t>
            </w:r>
          </w:p>
          <w:p w:rsidR="00E40AFA" w:rsidRPr="00DB7DCA" w:rsidRDefault="00E40AFA" w:rsidP="00E40AFA">
            <w:pPr>
              <w:numPr>
                <w:ilvl w:val="1"/>
                <w:numId w:val="1"/>
              </w:numPr>
              <w:rPr>
                <w:rFonts w:eastAsia="Calibri" w:cstheme="minorHAnsi"/>
                <w:b/>
                <w:u w:val="single"/>
              </w:rPr>
            </w:pPr>
            <w:r w:rsidRPr="00DB7DCA">
              <w:rPr>
                <w:rFonts w:eastAsia="Calibri" w:cstheme="minorHAnsi"/>
                <w:u w:val="single"/>
              </w:rPr>
              <w:lastRenderedPageBreak/>
              <w:t>Processing Requirements</w:t>
            </w:r>
          </w:p>
          <w:p w:rsidR="00E40AFA" w:rsidRPr="00DB7DCA" w:rsidRDefault="00E40AFA" w:rsidP="00E40AFA">
            <w:pPr>
              <w:ind w:left="435"/>
              <w:rPr>
                <w:rFonts w:eastAsia="Calibri" w:cstheme="minorHAnsi"/>
                <w:b/>
                <w:u w:val="single"/>
              </w:rPr>
            </w:pPr>
            <w:r w:rsidRPr="00DB7DCA">
              <w:rPr>
                <w:rFonts w:eastAsia="Calibri" w:cstheme="minorHAnsi"/>
                <w:b/>
                <w:u w:val="single"/>
              </w:rPr>
              <w:t>2.1.4 Deduct</w:t>
            </w:r>
            <w:r w:rsidRPr="00DB7DCA">
              <w:rPr>
                <w:rFonts w:eastAsia="Times New Roman" w:cstheme="minorHAnsi"/>
              </w:rPr>
              <w:t xml:space="preserve"> Member responsibility amounts (patient liability, client obligations, and spenddown) according to State guidelines when pricing claims. </w:t>
            </w:r>
          </w:p>
          <w:p w:rsidR="00E40AFA" w:rsidRPr="00C42BB8" w:rsidRDefault="00E40AFA" w:rsidP="00E40AFA">
            <w:pPr>
              <w:rPr>
                <w:rFonts w:eastAsia="Times New Roman" w:cstheme="minorHAnsi"/>
              </w:rPr>
            </w:pPr>
            <w:r w:rsidRPr="00C42BB8">
              <w:rPr>
                <w:rFonts w:eastAsia="Times New Roman" w:cstheme="minorHAnsi"/>
              </w:rPr>
              <w:t>Note: Please refer to the “Patient Liability, Client Obligation and Spenddown Comparison Chart” in the KanCare Guide</w:t>
            </w:r>
          </w:p>
          <w:p w:rsidR="00E40AFA" w:rsidRPr="00C42BB8" w:rsidRDefault="00E40AFA" w:rsidP="00E40AFA">
            <w:pPr>
              <w:rPr>
                <w:rFonts w:cstheme="minorHAnsi"/>
              </w:rPr>
            </w:pPr>
          </w:p>
          <w:p w:rsidR="00E40AFA" w:rsidRPr="00C42BB8" w:rsidRDefault="00E40AFA" w:rsidP="00E40AFA">
            <w:pPr>
              <w:rPr>
                <w:rFonts w:cstheme="minorHAnsi"/>
              </w:rPr>
            </w:pPr>
            <w:r w:rsidRPr="00C42BB8">
              <w:rPr>
                <w:rFonts w:cstheme="minorHAnsi"/>
              </w:rPr>
              <w:t>3.0 Adjudication</w:t>
            </w:r>
          </w:p>
          <w:p w:rsidR="00E40AFA" w:rsidRPr="00C42BB8" w:rsidRDefault="00E40AFA" w:rsidP="00E40AFA">
            <w:pPr>
              <w:rPr>
                <w:rFonts w:cstheme="minorHAnsi"/>
              </w:rPr>
            </w:pPr>
            <w:r w:rsidRPr="00C42BB8">
              <w:rPr>
                <w:rFonts w:cstheme="minorHAnsi"/>
              </w:rPr>
              <w:t>3.3 Spenddown Requirements</w:t>
            </w:r>
          </w:p>
          <w:p w:rsidR="00E40AFA" w:rsidRPr="00C42BB8" w:rsidRDefault="00E40AFA" w:rsidP="00E40AFA">
            <w:pPr>
              <w:rPr>
                <w:rFonts w:cstheme="minorHAnsi"/>
              </w:rPr>
            </w:pPr>
            <w:r w:rsidRPr="00C42BB8">
              <w:rPr>
                <w:rFonts w:cstheme="minorHAnsi"/>
              </w:rPr>
              <w:t>3.3.1 Apply spenddown accurately and timely, every hour, at a minimum, using the Spenddown Web Service</w:t>
            </w:r>
          </w:p>
          <w:p w:rsidR="00E40AFA" w:rsidRPr="00C42BB8" w:rsidRDefault="00E40AFA" w:rsidP="00E40AFA">
            <w:pPr>
              <w:rPr>
                <w:rFonts w:cstheme="minorHAnsi"/>
              </w:rPr>
            </w:pPr>
          </w:p>
        </w:tc>
      </w:tr>
      <w:tr w:rsidR="00E40AFA" w:rsidRPr="00C42BB8" w:rsidTr="00972641">
        <w:tc>
          <w:tcPr>
            <w:tcW w:w="641" w:type="dxa"/>
          </w:tcPr>
          <w:p w:rsidR="00E40AFA" w:rsidRPr="00C42BB8" w:rsidRDefault="003711D2" w:rsidP="00E40AFA">
            <w:pPr>
              <w:rPr>
                <w:rFonts w:cstheme="minorHAnsi"/>
              </w:rPr>
            </w:pPr>
            <w:r>
              <w:rPr>
                <w:rFonts w:cstheme="minorHAnsi"/>
              </w:rPr>
              <w:lastRenderedPageBreak/>
              <w:t>6</w:t>
            </w:r>
          </w:p>
        </w:tc>
        <w:tc>
          <w:tcPr>
            <w:tcW w:w="1893" w:type="dxa"/>
          </w:tcPr>
          <w:p w:rsidR="00E40AFA" w:rsidRPr="00B2384E" w:rsidRDefault="00E40AFA" w:rsidP="00E40AFA">
            <w:pPr>
              <w:rPr>
                <w:rFonts w:cstheme="minorHAnsi"/>
                <w:b/>
              </w:rPr>
            </w:pPr>
            <w:r w:rsidRPr="00B2384E">
              <w:rPr>
                <w:rFonts w:cstheme="minorHAnsi"/>
                <w:b/>
              </w:rPr>
              <w:t>Claims</w:t>
            </w:r>
          </w:p>
        </w:tc>
        <w:tc>
          <w:tcPr>
            <w:tcW w:w="3774" w:type="dxa"/>
          </w:tcPr>
          <w:p w:rsidR="00E40AFA" w:rsidRPr="006732B8" w:rsidRDefault="00E40AFA" w:rsidP="00E40AFA">
            <w:pPr>
              <w:rPr>
                <w:rFonts w:cstheme="minorHAnsi"/>
              </w:rPr>
            </w:pPr>
            <w:r w:rsidRPr="006732B8">
              <w:rPr>
                <w:rFonts w:cstheme="minorHAnsi"/>
              </w:rPr>
              <w:t>Incorrect provider rates loaded (IHS/RHC/FQHC Rates)</w:t>
            </w:r>
          </w:p>
          <w:p w:rsidR="00E40AFA" w:rsidRPr="00C42BB8" w:rsidRDefault="00E40AFA" w:rsidP="00E40AFA">
            <w:pPr>
              <w:rPr>
                <w:rFonts w:cstheme="minorHAnsi"/>
              </w:rPr>
            </w:pPr>
          </w:p>
        </w:tc>
        <w:tc>
          <w:tcPr>
            <w:tcW w:w="1384" w:type="dxa"/>
          </w:tcPr>
          <w:p w:rsidR="00E40AFA" w:rsidRPr="00C42BB8" w:rsidRDefault="00E40AFA" w:rsidP="00E40AFA">
            <w:pPr>
              <w:rPr>
                <w:rFonts w:cstheme="minorHAnsi"/>
              </w:rPr>
            </w:pPr>
            <w:r w:rsidRPr="00C42BB8">
              <w:rPr>
                <w:rFonts w:cstheme="minorHAnsi"/>
              </w:rPr>
              <w:t>5.5.15.D.2</w:t>
            </w: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p>
          <w:p w:rsidR="00E40AFA" w:rsidRPr="00C42BB8" w:rsidRDefault="00E40AFA" w:rsidP="00E40AFA">
            <w:pPr>
              <w:rPr>
                <w:rFonts w:cstheme="minorHAnsi"/>
              </w:rPr>
            </w:pPr>
            <w:r w:rsidRPr="00C42BB8">
              <w:rPr>
                <w:rFonts w:cstheme="minorHAnsi"/>
              </w:rPr>
              <w:t>Attachment I</w:t>
            </w:r>
          </w:p>
          <w:p w:rsidR="00E40AFA" w:rsidRPr="00972641" w:rsidRDefault="00E40AFA" w:rsidP="00E40AFA">
            <w:pPr>
              <w:rPr>
                <w:rFonts w:eastAsia="Calibri" w:cstheme="minorHAnsi"/>
              </w:rPr>
            </w:pPr>
            <w:r w:rsidRPr="00C42BB8">
              <w:rPr>
                <w:rFonts w:cstheme="minorHAnsi"/>
              </w:rPr>
              <w:t>1.8.1</w:t>
            </w:r>
          </w:p>
        </w:tc>
        <w:tc>
          <w:tcPr>
            <w:tcW w:w="11763" w:type="dxa"/>
          </w:tcPr>
          <w:p w:rsidR="00E40AFA" w:rsidRPr="006732B8" w:rsidRDefault="00E40AFA" w:rsidP="00E40AFA">
            <w:pPr>
              <w:rPr>
                <w:rFonts w:eastAsia="Calibri" w:cstheme="minorHAnsi"/>
              </w:rPr>
            </w:pPr>
            <w:r w:rsidRPr="006732B8">
              <w:rPr>
                <w:rFonts w:eastAsia="Calibri" w:cstheme="minorHAnsi"/>
              </w:rPr>
              <w:t>5.5 Provider Network</w:t>
            </w:r>
          </w:p>
          <w:p w:rsidR="00E40AFA" w:rsidRPr="006732B8" w:rsidRDefault="00E40AFA" w:rsidP="00E40AFA">
            <w:pPr>
              <w:rPr>
                <w:rFonts w:cstheme="minorHAnsi"/>
              </w:rPr>
            </w:pPr>
            <w:r w:rsidRPr="006732B8">
              <w:rPr>
                <w:rFonts w:cstheme="minorHAnsi"/>
              </w:rPr>
              <w:t>5.5.15</w:t>
            </w:r>
            <w:r w:rsidRPr="00C42BB8">
              <w:rPr>
                <w:rFonts w:cstheme="minorHAnsi"/>
              </w:rPr>
              <w:t xml:space="preserve"> </w:t>
            </w:r>
            <w:r w:rsidRPr="006732B8">
              <w:rPr>
                <w:rFonts w:cstheme="minorHAnsi"/>
              </w:rPr>
              <w:t xml:space="preserve">PROVIDER PAYMENT </w:t>
            </w:r>
          </w:p>
          <w:p w:rsidR="00E40AFA" w:rsidRPr="006732B8" w:rsidRDefault="00E40AFA" w:rsidP="00E40AFA">
            <w:pPr>
              <w:rPr>
                <w:rFonts w:cstheme="minorHAnsi"/>
              </w:rPr>
            </w:pPr>
            <w:r w:rsidRPr="00C42BB8">
              <w:rPr>
                <w:rFonts w:cstheme="minorHAnsi"/>
              </w:rPr>
              <w:t>5.5.15.D</w:t>
            </w:r>
            <w:r w:rsidRPr="006732B8">
              <w:rPr>
                <w:rFonts w:cstheme="minorHAnsi"/>
              </w:rPr>
              <w:t xml:space="preserve">. </w:t>
            </w:r>
            <w:r w:rsidRPr="00C42BB8">
              <w:rPr>
                <w:rFonts w:cstheme="minorHAnsi"/>
              </w:rPr>
              <w:t>FQHC/RHC/Critical Access Hospitals (CAH) Reimbursement:</w:t>
            </w:r>
          </w:p>
          <w:p w:rsidR="00E40AFA" w:rsidRPr="006732B8" w:rsidRDefault="00E40AFA" w:rsidP="00E40AFA">
            <w:pPr>
              <w:rPr>
                <w:rFonts w:cstheme="minorHAnsi"/>
              </w:rPr>
            </w:pPr>
            <w:r w:rsidRPr="00C42BB8">
              <w:rPr>
                <w:rFonts w:cstheme="minorHAnsi"/>
              </w:rPr>
              <w:t>5.5.15.D.2 The CONTRACTOR(S) shall reimburse an FQHC and RHC the Prospective Payment System rate in effect on the date of service for each Encounter.</w:t>
            </w:r>
          </w:p>
          <w:p w:rsidR="00E40AFA" w:rsidRPr="006732B8" w:rsidRDefault="00E40AFA" w:rsidP="00E40AFA">
            <w:pPr>
              <w:rPr>
                <w:rFonts w:eastAsia="Calibri" w:cstheme="minorHAnsi"/>
              </w:rPr>
            </w:pPr>
            <w:r w:rsidRPr="006732B8">
              <w:rPr>
                <w:rFonts w:eastAsia="Calibri" w:cstheme="minorHAnsi"/>
              </w:rPr>
              <w:object w:dxaOrig="1544" w:dyaOrig="998" w14:anchorId="307BA7FA">
                <v:shape id="_x0000_i1028" type="#_x0000_t75" style="width:77.25pt;height:50.25pt" o:ole="">
                  <v:imagedata r:id="rId10" o:title=""/>
                </v:shape>
                <o:OLEObject Type="Embed" ProgID="Word.Document.12" ShapeID="_x0000_i1028" DrawAspect="Icon" ObjectID="_1625052006" r:id="rId13">
                  <o:FieldCodes>\s</o:FieldCodes>
                </o:OLEObject>
              </w:object>
            </w:r>
          </w:p>
          <w:p w:rsidR="00E40AFA" w:rsidRPr="006732B8" w:rsidRDefault="00E40AFA" w:rsidP="00E40AFA">
            <w:pPr>
              <w:keepNext/>
              <w:keepLines/>
              <w:outlineLvl w:val="2"/>
              <w:rPr>
                <w:rFonts w:eastAsiaTheme="majorEastAsia" w:cstheme="minorHAnsi"/>
                <w:u w:val="single"/>
              </w:rPr>
            </w:pPr>
            <w:r w:rsidRPr="006732B8">
              <w:rPr>
                <w:rFonts w:eastAsiaTheme="majorEastAsia" w:cstheme="minorHAnsi"/>
              </w:rPr>
              <w:t xml:space="preserve">1.8 </w:t>
            </w:r>
            <w:r w:rsidRPr="006732B8">
              <w:rPr>
                <w:rFonts w:eastAsiaTheme="majorEastAsia" w:cstheme="minorHAnsi"/>
                <w:u w:val="single"/>
              </w:rPr>
              <w:t>CONTRACTOR(S) Responsibilities</w:t>
            </w:r>
          </w:p>
          <w:p w:rsidR="00E40AFA" w:rsidRPr="006732B8" w:rsidRDefault="00E40AFA" w:rsidP="00E40AFA">
            <w:pPr>
              <w:spacing w:after="120"/>
              <w:rPr>
                <w:rFonts w:eastAsia="Times New Roman" w:cstheme="minorHAnsi"/>
              </w:rPr>
            </w:pPr>
            <w:r w:rsidRPr="006732B8">
              <w:rPr>
                <w:rFonts w:eastAsia="Times New Roman" w:cstheme="minorHAnsi"/>
              </w:rPr>
              <w:t>1.The CONTRACTOR(S) shall process all claims completely, timely and accurately.</w:t>
            </w:r>
          </w:p>
          <w:p w:rsidR="00E40AFA" w:rsidRPr="00972641" w:rsidRDefault="00E40AFA" w:rsidP="00E40AFA">
            <w:pPr>
              <w:rPr>
                <w:rFonts w:eastAsia="Calibri" w:cstheme="minorHAnsi"/>
              </w:rPr>
            </w:pPr>
          </w:p>
        </w:tc>
      </w:tr>
      <w:tr w:rsidR="00E40AFA" w:rsidRPr="00C42BB8" w:rsidTr="00972641">
        <w:tc>
          <w:tcPr>
            <w:tcW w:w="641" w:type="dxa"/>
          </w:tcPr>
          <w:p w:rsidR="00E40AFA" w:rsidRPr="00C42BB8" w:rsidRDefault="003711D2" w:rsidP="00E40AFA">
            <w:pPr>
              <w:rPr>
                <w:rFonts w:cstheme="minorHAnsi"/>
              </w:rPr>
            </w:pPr>
            <w:r>
              <w:rPr>
                <w:rFonts w:cstheme="minorHAnsi"/>
              </w:rPr>
              <w:t>7</w:t>
            </w:r>
          </w:p>
        </w:tc>
        <w:tc>
          <w:tcPr>
            <w:tcW w:w="1893" w:type="dxa"/>
          </w:tcPr>
          <w:p w:rsidR="00E40AFA" w:rsidRPr="00B2384E" w:rsidRDefault="00E40AFA" w:rsidP="00E40AFA">
            <w:pPr>
              <w:rPr>
                <w:rFonts w:cstheme="minorHAnsi"/>
                <w:b/>
              </w:rPr>
            </w:pPr>
            <w:r w:rsidRPr="00B2384E">
              <w:rPr>
                <w:rFonts w:eastAsia="Times New Roman" w:cstheme="minorHAnsi"/>
                <w:b/>
                <w:bCs/>
              </w:rPr>
              <w:t>Aetna Website Update</w:t>
            </w:r>
          </w:p>
        </w:tc>
        <w:tc>
          <w:tcPr>
            <w:tcW w:w="3774" w:type="dxa"/>
          </w:tcPr>
          <w:p w:rsidR="00E40AFA" w:rsidRPr="00C42BB8" w:rsidRDefault="00E40AFA" w:rsidP="00E40AFA">
            <w:pPr>
              <w:rPr>
                <w:rFonts w:cstheme="minorHAnsi"/>
              </w:rPr>
            </w:pPr>
            <w:r w:rsidRPr="00C42BB8">
              <w:rPr>
                <w:rFonts w:cstheme="minorHAnsi"/>
              </w:rPr>
              <w:t xml:space="preserve">Outstanding Website Updates </w:t>
            </w:r>
            <w:r w:rsidR="002B050D">
              <w:rPr>
                <w:rFonts w:cstheme="minorHAnsi"/>
              </w:rPr>
              <w:t>for Contractor and Subcontractors. Various issues.</w:t>
            </w:r>
          </w:p>
        </w:tc>
        <w:tc>
          <w:tcPr>
            <w:tcW w:w="1384" w:type="dxa"/>
          </w:tcPr>
          <w:p w:rsidR="00E40AFA" w:rsidRPr="00C42BB8" w:rsidRDefault="00E40AFA" w:rsidP="00E40AFA">
            <w:pPr>
              <w:rPr>
                <w:rFonts w:eastAsia="Times New Roman" w:cstheme="minorHAnsi"/>
                <w:bCs/>
              </w:rPr>
            </w:pPr>
            <w:r w:rsidRPr="00C42BB8">
              <w:rPr>
                <w:rFonts w:eastAsia="Times New Roman" w:cstheme="minorHAnsi"/>
                <w:bCs/>
              </w:rPr>
              <w:t>5.10.4</w:t>
            </w:r>
          </w:p>
          <w:p w:rsidR="00E40AFA" w:rsidRPr="00C42BB8" w:rsidRDefault="00E40AFA" w:rsidP="00E40AFA">
            <w:pPr>
              <w:rPr>
                <w:rFonts w:eastAsia="Times New Roman" w:cstheme="minorHAnsi"/>
                <w:bCs/>
              </w:rPr>
            </w:pPr>
            <w:r w:rsidRPr="00C42BB8">
              <w:rPr>
                <w:rFonts w:eastAsia="Times New Roman" w:cstheme="minorHAnsi"/>
                <w:bCs/>
              </w:rPr>
              <w:t>5.10.5 (Member)</w:t>
            </w:r>
          </w:p>
          <w:p w:rsidR="00E40AFA" w:rsidRPr="00C42BB8" w:rsidRDefault="00E40AFA" w:rsidP="00E40AFA">
            <w:pPr>
              <w:rPr>
                <w:rFonts w:eastAsia="Times New Roman" w:cstheme="minorHAnsi"/>
                <w:bCs/>
              </w:rPr>
            </w:pPr>
            <w:r w:rsidRPr="00C42BB8">
              <w:rPr>
                <w:rFonts w:eastAsia="Times New Roman" w:cstheme="minorHAnsi"/>
                <w:bCs/>
              </w:rPr>
              <w:t>5.6.3</w:t>
            </w:r>
          </w:p>
          <w:p w:rsidR="00E40AFA" w:rsidRPr="00C42BB8" w:rsidRDefault="00E40AFA" w:rsidP="00E40AFA">
            <w:pPr>
              <w:rPr>
                <w:rFonts w:eastAsia="Times New Roman" w:cstheme="minorHAnsi"/>
                <w:bCs/>
              </w:rPr>
            </w:pPr>
            <w:r w:rsidRPr="00C42BB8">
              <w:rPr>
                <w:rFonts w:eastAsia="Times New Roman" w:cstheme="minorHAnsi"/>
                <w:bCs/>
              </w:rPr>
              <w:t xml:space="preserve">5.6.4 </w:t>
            </w:r>
          </w:p>
          <w:p w:rsidR="00E40AFA" w:rsidRPr="00972641" w:rsidRDefault="00E40AFA" w:rsidP="00E40AFA">
            <w:pPr>
              <w:rPr>
                <w:rFonts w:eastAsia="Calibri" w:cstheme="minorHAnsi"/>
              </w:rPr>
            </w:pPr>
            <w:r w:rsidRPr="00C42BB8">
              <w:rPr>
                <w:rFonts w:eastAsia="Times New Roman" w:cstheme="minorHAnsi"/>
                <w:bCs/>
              </w:rPr>
              <w:t>(Provider)</w:t>
            </w:r>
          </w:p>
        </w:tc>
        <w:tc>
          <w:tcPr>
            <w:tcW w:w="11763" w:type="dxa"/>
          </w:tcPr>
          <w:p w:rsidR="00E40AFA" w:rsidRPr="00C42BB8" w:rsidRDefault="00E40AFA" w:rsidP="00E40AFA">
            <w:pPr>
              <w:rPr>
                <w:rFonts w:eastAsia="Times New Roman" w:cstheme="minorHAnsi"/>
                <w:bCs/>
              </w:rPr>
            </w:pPr>
            <w:r w:rsidRPr="00C42BB8">
              <w:rPr>
                <w:rFonts w:eastAsia="Times New Roman" w:cstheme="minorHAnsi"/>
                <w:bCs/>
              </w:rPr>
              <w:t>5.10 Member Services</w:t>
            </w:r>
          </w:p>
          <w:p w:rsidR="00E40AFA" w:rsidRPr="00C42BB8" w:rsidRDefault="00E40AFA" w:rsidP="00E40AFA">
            <w:pPr>
              <w:rPr>
                <w:rFonts w:eastAsia="Times New Roman" w:cstheme="minorHAnsi"/>
                <w:bCs/>
              </w:rPr>
            </w:pPr>
            <w:r w:rsidRPr="00C42BB8">
              <w:rPr>
                <w:rFonts w:eastAsia="Times New Roman" w:cstheme="minorHAnsi"/>
                <w:bCs/>
              </w:rPr>
              <w:t>5.10.4 ELECTRONIC SPECIFIC AND WEBSITE REQUIREMENTS FOR MEMBER INFORMATION</w:t>
            </w:r>
          </w:p>
          <w:p w:rsidR="00E40AFA" w:rsidRPr="00C42BB8" w:rsidRDefault="00E40AFA" w:rsidP="00E40AFA">
            <w:pPr>
              <w:rPr>
                <w:rFonts w:eastAsia="Times New Roman" w:cstheme="minorHAnsi"/>
                <w:bCs/>
              </w:rPr>
            </w:pPr>
            <w:r w:rsidRPr="00C42BB8">
              <w:rPr>
                <w:rFonts w:eastAsia="Times New Roman" w:cstheme="minorHAnsi"/>
                <w:bCs/>
              </w:rPr>
              <w:t>5.10.5 WRITTEN MEMBER MATERIALS REQUIREMENTS</w:t>
            </w:r>
          </w:p>
          <w:p w:rsidR="00E40AFA" w:rsidRPr="00C42BB8" w:rsidRDefault="00E40AFA" w:rsidP="00E40AFA">
            <w:pPr>
              <w:rPr>
                <w:rFonts w:eastAsia="Times New Roman" w:cstheme="minorHAnsi"/>
                <w:bCs/>
              </w:rPr>
            </w:pPr>
            <w:r w:rsidRPr="00C42BB8">
              <w:rPr>
                <w:rFonts w:eastAsia="Times New Roman" w:cstheme="minorHAnsi"/>
                <w:bCs/>
              </w:rPr>
              <w:t>5.6 Provider Services</w:t>
            </w:r>
          </w:p>
          <w:p w:rsidR="00E40AFA" w:rsidRPr="00C42BB8" w:rsidRDefault="00E40AFA" w:rsidP="00E40AFA">
            <w:pPr>
              <w:rPr>
                <w:rFonts w:eastAsia="Times New Roman" w:cstheme="minorHAnsi"/>
                <w:bCs/>
              </w:rPr>
            </w:pPr>
            <w:r w:rsidRPr="00C42BB8">
              <w:rPr>
                <w:rFonts w:eastAsia="Times New Roman" w:cstheme="minorHAnsi"/>
                <w:bCs/>
              </w:rPr>
              <w:t>5.6.3 ELECTRONIC SPECIFIC AND WEBSITE REQUIREMENTS FOR PROVIDER INFORMATION</w:t>
            </w:r>
          </w:p>
          <w:p w:rsidR="00E40AFA" w:rsidRPr="00972641" w:rsidRDefault="00E40AFA" w:rsidP="00E40AFA">
            <w:pPr>
              <w:rPr>
                <w:rFonts w:eastAsia="Calibri" w:cstheme="minorHAnsi"/>
              </w:rPr>
            </w:pPr>
            <w:r w:rsidRPr="00C42BB8">
              <w:rPr>
                <w:rFonts w:eastAsia="Times New Roman" w:cstheme="minorHAnsi"/>
                <w:bCs/>
              </w:rPr>
              <w:t>5.6.4</w:t>
            </w:r>
            <w:r w:rsidRPr="00C42BB8">
              <w:rPr>
                <w:rFonts w:cstheme="minorHAnsi"/>
              </w:rPr>
              <w:t xml:space="preserve"> </w:t>
            </w:r>
            <w:r w:rsidRPr="00C42BB8">
              <w:rPr>
                <w:rFonts w:eastAsia="Times New Roman" w:cstheme="minorHAnsi"/>
                <w:bCs/>
              </w:rPr>
              <w:t>WRITTEN PROVIDER MATERIALS REQUIREMENTS</w:t>
            </w:r>
          </w:p>
        </w:tc>
      </w:tr>
      <w:tr w:rsidR="00E40AFA" w:rsidRPr="00C42BB8" w:rsidTr="00972641">
        <w:tc>
          <w:tcPr>
            <w:tcW w:w="641" w:type="dxa"/>
          </w:tcPr>
          <w:p w:rsidR="00E40AFA" w:rsidRDefault="003711D2" w:rsidP="00E40AFA">
            <w:pPr>
              <w:rPr>
                <w:rFonts w:cstheme="minorHAnsi"/>
              </w:rPr>
            </w:pPr>
            <w:r>
              <w:rPr>
                <w:rFonts w:cstheme="minorHAnsi"/>
              </w:rPr>
              <w:t>8</w:t>
            </w: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Pr="00C42BB8" w:rsidRDefault="003711D2" w:rsidP="00E40AFA">
            <w:pPr>
              <w:rPr>
                <w:rFonts w:cstheme="minorHAnsi"/>
              </w:rPr>
            </w:pPr>
            <w:r>
              <w:rPr>
                <w:rFonts w:cstheme="minorHAnsi"/>
              </w:rPr>
              <w:t>8</w:t>
            </w:r>
          </w:p>
        </w:tc>
        <w:tc>
          <w:tcPr>
            <w:tcW w:w="1893" w:type="dxa"/>
          </w:tcPr>
          <w:p w:rsidR="00E40AFA" w:rsidRPr="00C42BB8" w:rsidRDefault="00E40AFA" w:rsidP="00E40AFA">
            <w:pPr>
              <w:rPr>
                <w:rFonts w:cstheme="minorHAnsi"/>
              </w:rPr>
            </w:pPr>
            <w:r w:rsidRPr="00C42BB8">
              <w:rPr>
                <w:rFonts w:cstheme="minorHAnsi"/>
                <w:b/>
              </w:rPr>
              <w:lastRenderedPageBreak/>
              <w:t>Portal</w:t>
            </w:r>
          </w:p>
        </w:tc>
        <w:tc>
          <w:tcPr>
            <w:tcW w:w="3774" w:type="dxa"/>
          </w:tcPr>
          <w:p w:rsidR="00E40AFA" w:rsidRPr="00E40AFA" w:rsidRDefault="00E40AFA" w:rsidP="00E40AFA">
            <w:pPr>
              <w:rPr>
                <w:rFonts w:cstheme="minorHAnsi"/>
              </w:rPr>
            </w:pPr>
            <w:r w:rsidRPr="00C42BB8">
              <w:rPr>
                <w:rFonts w:cstheme="minorHAnsi"/>
              </w:rPr>
              <w:t>Providers are still reporting access issue</w:t>
            </w:r>
            <w:r w:rsidRPr="002B050D">
              <w:rPr>
                <w:rFonts w:cstheme="minorHAnsi"/>
              </w:rPr>
              <w:t xml:space="preserve">s, </w:t>
            </w:r>
            <w:r w:rsidRPr="00E40AFA">
              <w:rPr>
                <w:rFonts w:cstheme="minorHAnsi"/>
              </w:rPr>
              <w:t xml:space="preserve">awaiting provider bulletin for instructions on how to use the portal. </w:t>
            </w:r>
          </w:p>
          <w:p w:rsidR="00E40AFA" w:rsidRPr="00C42BB8" w:rsidRDefault="00E40AFA" w:rsidP="00E40AFA">
            <w:pPr>
              <w:rPr>
                <w:rFonts w:cstheme="minorHAnsi"/>
              </w:rPr>
            </w:pPr>
          </w:p>
        </w:tc>
        <w:tc>
          <w:tcPr>
            <w:tcW w:w="1384" w:type="dxa"/>
          </w:tcPr>
          <w:p w:rsidR="00E40AFA" w:rsidRPr="00972641" w:rsidRDefault="00E40AFA" w:rsidP="00E40AFA">
            <w:pPr>
              <w:rPr>
                <w:rFonts w:eastAsia="Calibri" w:cstheme="minorHAnsi"/>
              </w:rPr>
            </w:pPr>
            <w:r w:rsidRPr="00972641">
              <w:rPr>
                <w:rFonts w:eastAsia="Calibri" w:cstheme="minorHAnsi"/>
              </w:rPr>
              <w:t>5.6.3.E</w:t>
            </w:r>
          </w:p>
          <w:p w:rsidR="00E40AFA" w:rsidRPr="00C42BB8" w:rsidRDefault="00E40AFA" w:rsidP="00E40AFA">
            <w:pPr>
              <w:rPr>
                <w:rFonts w:cstheme="minorHAnsi"/>
              </w:rPr>
            </w:pPr>
          </w:p>
        </w:tc>
        <w:tc>
          <w:tcPr>
            <w:tcW w:w="11763" w:type="dxa"/>
          </w:tcPr>
          <w:p w:rsidR="00E40AFA" w:rsidRPr="00972641" w:rsidRDefault="00E40AFA" w:rsidP="00E40AFA">
            <w:pPr>
              <w:rPr>
                <w:rFonts w:eastAsia="Calibri" w:cstheme="minorHAnsi"/>
              </w:rPr>
            </w:pPr>
            <w:r w:rsidRPr="00972641">
              <w:rPr>
                <w:rFonts w:eastAsia="Calibri" w:cstheme="minorHAnsi"/>
              </w:rPr>
              <w:t>5.6 Provider Services</w:t>
            </w:r>
          </w:p>
          <w:p w:rsidR="00E40AFA" w:rsidRPr="00972641" w:rsidRDefault="00E40AFA" w:rsidP="00E40AFA">
            <w:pPr>
              <w:rPr>
                <w:rFonts w:eastAsia="Calibri" w:cstheme="minorHAnsi"/>
              </w:rPr>
            </w:pPr>
            <w:r w:rsidRPr="00972641">
              <w:rPr>
                <w:rFonts w:eastAsia="Calibri" w:cstheme="minorHAnsi"/>
              </w:rPr>
              <w:t>5.6.3 Electronic Specific and Website Requirements for Provider Information</w:t>
            </w:r>
          </w:p>
          <w:p w:rsidR="00E40AFA" w:rsidRPr="00972641" w:rsidRDefault="00E40AFA" w:rsidP="00E40AFA">
            <w:pPr>
              <w:rPr>
                <w:rFonts w:eastAsia="Calibri" w:cstheme="minorHAnsi"/>
              </w:rPr>
            </w:pPr>
            <w:r w:rsidRPr="00972641">
              <w:rPr>
                <w:rFonts w:eastAsia="Calibri" w:cstheme="minorHAnsi"/>
              </w:rPr>
              <w:t xml:space="preserve">5.6.3.E For Providers, the CONTRACTOR(S) shall maintain a secure area within their website which offers: </w:t>
            </w:r>
          </w:p>
          <w:p w:rsidR="00E40AFA" w:rsidRPr="00C42BB8" w:rsidRDefault="00E40AFA" w:rsidP="00E40AFA">
            <w:pPr>
              <w:rPr>
                <w:rFonts w:cstheme="minorHAnsi"/>
              </w:rPr>
            </w:pPr>
            <w:r w:rsidRPr="00C42BB8">
              <w:rPr>
                <w:rFonts w:eastAsia="Calibri" w:cstheme="minorHAnsi"/>
              </w:rPr>
              <w:lastRenderedPageBreak/>
              <w:t>3. Electronic copy of explanation of benefits that detail claim service payment or denials. Dates of service, procedure codes, amount billed, amount allowed, amount paid, and patient liability are all required on the explanation of benefits from the CONTRACTOR(S) and Subcontractors.</w:t>
            </w:r>
          </w:p>
        </w:tc>
      </w:tr>
      <w:tr w:rsidR="00B2384E" w:rsidRPr="00C42BB8" w:rsidTr="00972641">
        <w:tc>
          <w:tcPr>
            <w:tcW w:w="641" w:type="dxa"/>
          </w:tcPr>
          <w:p w:rsidR="00B2384E" w:rsidRPr="00C42BB8" w:rsidRDefault="003711D2" w:rsidP="00E40AFA">
            <w:pPr>
              <w:rPr>
                <w:rFonts w:cstheme="minorHAnsi"/>
              </w:rPr>
            </w:pPr>
            <w:r>
              <w:rPr>
                <w:rFonts w:cstheme="minorHAnsi"/>
              </w:rPr>
              <w:lastRenderedPageBreak/>
              <w:t>9</w:t>
            </w:r>
          </w:p>
        </w:tc>
        <w:tc>
          <w:tcPr>
            <w:tcW w:w="1893" w:type="dxa"/>
          </w:tcPr>
          <w:p w:rsidR="00B2384E" w:rsidRPr="00C42BB8" w:rsidRDefault="00B2384E" w:rsidP="00E40AFA">
            <w:pPr>
              <w:rPr>
                <w:rFonts w:cstheme="minorHAnsi"/>
              </w:rPr>
            </w:pPr>
            <w:r w:rsidRPr="00C42BB8">
              <w:rPr>
                <w:rFonts w:eastAsia="Times New Roman" w:cstheme="minorHAnsi"/>
                <w:b/>
              </w:rPr>
              <w:t>Document and Contract Submissions</w:t>
            </w:r>
          </w:p>
        </w:tc>
        <w:tc>
          <w:tcPr>
            <w:tcW w:w="3774" w:type="dxa"/>
          </w:tcPr>
          <w:p w:rsidR="00B2384E" w:rsidRPr="00C42BB8" w:rsidRDefault="00B2384E" w:rsidP="00E40AFA">
            <w:pPr>
              <w:rPr>
                <w:rFonts w:cstheme="minorHAnsi"/>
              </w:rPr>
            </w:pPr>
            <w:r w:rsidRPr="00C42BB8">
              <w:rPr>
                <w:rFonts w:eastAsia="Times New Roman" w:cstheme="minorHAnsi"/>
              </w:rPr>
              <w:t xml:space="preserve">Persistent non-compliance with 45 day prior-to-use submittal of documents and contracts. </w:t>
            </w:r>
            <w:r w:rsidRPr="00C42BB8">
              <w:rPr>
                <w:rFonts w:eastAsia="Calibri" w:cstheme="minorHAnsi"/>
              </w:rPr>
              <w:t>Meeting invitations sent late, or documents sent late for State approval.</w:t>
            </w:r>
          </w:p>
        </w:tc>
        <w:tc>
          <w:tcPr>
            <w:tcW w:w="1384" w:type="dxa"/>
          </w:tcPr>
          <w:p w:rsidR="00B2384E" w:rsidRPr="00C42BB8" w:rsidRDefault="00B2384E" w:rsidP="00E40AFA">
            <w:pPr>
              <w:rPr>
                <w:rFonts w:cstheme="minorHAnsi"/>
              </w:rPr>
            </w:pPr>
            <w:r w:rsidRPr="00C42BB8">
              <w:rPr>
                <w:rFonts w:eastAsia="Calibri" w:cstheme="minorHAnsi"/>
              </w:rPr>
              <w:t>RFP 5.6.</w:t>
            </w:r>
            <w:proofErr w:type="gramStart"/>
            <w:r w:rsidRPr="00C42BB8">
              <w:rPr>
                <w:rFonts w:eastAsia="Calibri" w:cstheme="minorHAnsi"/>
              </w:rPr>
              <w:t>2.D</w:t>
            </w:r>
            <w:proofErr w:type="gramEnd"/>
          </w:p>
        </w:tc>
        <w:tc>
          <w:tcPr>
            <w:tcW w:w="11763" w:type="dxa"/>
          </w:tcPr>
          <w:p w:rsidR="00B2384E" w:rsidRPr="00C42BB8" w:rsidRDefault="00B2384E" w:rsidP="00E40AFA">
            <w:pPr>
              <w:rPr>
                <w:rFonts w:eastAsia="Times New Roman" w:cstheme="minorHAnsi"/>
                <w:bCs/>
              </w:rPr>
            </w:pPr>
            <w:r w:rsidRPr="00C42BB8">
              <w:rPr>
                <w:rFonts w:eastAsia="Times New Roman" w:cstheme="minorHAnsi"/>
                <w:bCs/>
              </w:rPr>
              <w:t>5.6 PROVIDER SERVICES</w:t>
            </w:r>
          </w:p>
          <w:p w:rsidR="00B2384E" w:rsidRPr="00C42BB8" w:rsidRDefault="00B2384E" w:rsidP="00E40AFA">
            <w:pPr>
              <w:rPr>
                <w:rFonts w:eastAsia="Times New Roman" w:cstheme="minorHAnsi"/>
                <w:bCs/>
              </w:rPr>
            </w:pPr>
            <w:r w:rsidRPr="00C42BB8">
              <w:rPr>
                <w:rFonts w:eastAsia="Times New Roman" w:cstheme="minorHAnsi"/>
                <w:bCs/>
              </w:rPr>
              <w:t>The CONTRACTOR(S) shall</w:t>
            </w:r>
          </w:p>
          <w:p w:rsidR="00B2384E" w:rsidRPr="00C42BB8" w:rsidRDefault="00B2384E" w:rsidP="00E40AFA">
            <w:pPr>
              <w:rPr>
                <w:rFonts w:eastAsia="Times New Roman" w:cstheme="minorHAnsi"/>
                <w:bCs/>
              </w:rPr>
            </w:pPr>
            <w:r w:rsidRPr="00C42BB8">
              <w:rPr>
                <w:rFonts w:eastAsia="Times New Roman" w:cstheme="minorHAnsi"/>
                <w:bCs/>
              </w:rPr>
              <w:t>5.6.2 STATE APPROVAL PROCESS OF PROVIDER MATERIALS</w:t>
            </w:r>
          </w:p>
          <w:p w:rsidR="00B2384E" w:rsidRPr="00C42BB8" w:rsidRDefault="00B2384E" w:rsidP="00E40AFA">
            <w:pPr>
              <w:rPr>
                <w:rFonts w:eastAsia="Times New Roman" w:cstheme="minorHAnsi"/>
                <w:bCs/>
              </w:rPr>
            </w:pPr>
            <w:r w:rsidRPr="00C42BB8">
              <w:rPr>
                <w:rFonts w:eastAsia="Times New Roman" w:cstheme="minorHAnsi"/>
                <w:bCs/>
              </w:rPr>
              <w:t xml:space="preserve">5.6.2.D Except as otherwise noted written materials must be submitted for review at least forty-five (45) calendar days for approval before their printing and distribution. The CONTRACTOR(S) should only request expedited reviews in rare circumstances and will be monitored for potential misuse. This requirement applies to: </w:t>
            </w:r>
          </w:p>
          <w:p w:rsidR="00B2384E" w:rsidRPr="00C42BB8" w:rsidRDefault="00B2384E" w:rsidP="00E40AFA">
            <w:pPr>
              <w:rPr>
                <w:rFonts w:eastAsia="Times New Roman" w:cstheme="minorHAnsi"/>
                <w:bCs/>
              </w:rPr>
            </w:pPr>
            <w:r w:rsidRPr="00C42BB8">
              <w:rPr>
                <w:rFonts w:eastAsia="Times New Roman" w:cstheme="minorHAnsi"/>
                <w:bCs/>
              </w:rPr>
              <w:t xml:space="preserve">1. Policy letters, coverage policy statements, or other communications about Covered Services distributed to Providers           </w:t>
            </w:r>
          </w:p>
          <w:p w:rsidR="00B2384E" w:rsidRPr="00C42BB8" w:rsidRDefault="00B2384E" w:rsidP="00E40AFA">
            <w:pPr>
              <w:rPr>
                <w:rFonts w:eastAsia="Times New Roman" w:cstheme="minorHAnsi"/>
                <w:bCs/>
              </w:rPr>
            </w:pPr>
            <w:r w:rsidRPr="00C42BB8">
              <w:rPr>
                <w:rFonts w:eastAsia="Times New Roman" w:cstheme="minorHAnsi"/>
                <w:bCs/>
              </w:rPr>
              <w:t xml:space="preserve">2. All updates to the Provider Handbook </w:t>
            </w:r>
          </w:p>
          <w:p w:rsidR="00B2384E" w:rsidRPr="00C42BB8" w:rsidRDefault="00B2384E" w:rsidP="00E40AFA">
            <w:pPr>
              <w:rPr>
                <w:rFonts w:eastAsia="Times New Roman" w:cstheme="minorHAnsi"/>
                <w:bCs/>
              </w:rPr>
            </w:pPr>
            <w:r w:rsidRPr="00C42BB8">
              <w:rPr>
                <w:rFonts w:eastAsia="Times New Roman" w:cstheme="minorHAnsi"/>
                <w:bCs/>
              </w:rPr>
              <w:t xml:space="preserve">3. All bulletins </w:t>
            </w:r>
          </w:p>
          <w:p w:rsidR="00B2384E" w:rsidRPr="00C42BB8" w:rsidRDefault="00B2384E" w:rsidP="00E40AFA">
            <w:pPr>
              <w:rPr>
                <w:rFonts w:eastAsia="Times New Roman" w:cstheme="minorHAnsi"/>
                <w:bCs/>
              </w:rPr>
            </w:pPr>
            <w:r w:rsidRPr="00C42BB8">
              <w:rPr>
                <w:rFonts w:eastAsia="Times New Roman" w:cstheme="minorHAnsi"/>
                <w:bCs/>
              </w:rPr>
              <w:t xml:space="preserve">4. All policy information changes submitted via letter </w:t>
            </w:r>
          </w:p>
          <w:p w:rsidR="00B2384E" w:rsidRPr="00C42BB8" w:rsidRDefault="00B2384E" w:rsidP="00E40AFA">
            <w:pPr>
              <w:rPr>
                <w:rFonts w:eastAsia="Times New Roman" w:cstheme="minorHAnsi"/>
                <w:bCs/>
              </w:rPr>
            </w:pPr>
            <w:r w:rsidRPr="00C42BB8">
              <w:rPr>
                <w:rFonts w:eastAsia="Times New Roman" w:cstheme="minorHAnsi"/>
                <w:bCs/>
              </w:rPr>
              <w:t xml:space="preserve">5. All Provider CONTRACT templates </w:t>
            </w:r>
          </w:p>
          <w:p w:rsidR="00B2384E" w:rsidRPr="00C42BB8" w:rsidRDefault="00B2384E" w:rsidP="00E40AFA">
            <w:pPr>
              <w:rPr>
                <w:rFonts w:eastAsia="Times New Roman" w:cstheme="minorHAnsi"/>
                <w:bCs/>
              </w:rPr>
            </w:pPr>
            <w:r w:rsidRPr="00C42BB8">
              <w:rPr>
                <w:rFonts w:eastAsia="Times New Roman" w:cstheme="minorHAnsi"/>
                <w:bCs/>
              </w:rPr>
              <w:t xml:space="preserve">6. All Pay for Performance (P4P) programs with Providers </w:t>
            </w:r>
          </w:p>
          <w:p w:rsidR="00B2384E" w:rsidRPr="00C42BB8" w:rsidRDefault="00B2384E" w:rsidP="00E40AFA">
            <w:pPr>
              <w:rPr>
                <w:rFonts w:cstheme="minorHAnsi"/>
              </w:rPr>
            </w:pPr>
            <w:r w:rsidRPr="00C42BB8">
              <w:rPr>
                <w:rFonts w:eastAsia="Times New Roman" w:cstheme="minorHAnsi"/>
                <w:bCs/>
              </w:rPr>
              <w:t>7. All CONTRACTS with Subcontractors</w:t>
            </w:r>
          </w:p>
        </w:tc>
      </w:tr>
      <w:tr w:rsidR="00B2384E" w:rsidRPr="00C42BB8" w:rsidTr="00972641">
        <w:tc>
          <w:tcPr>
            <w:tcW w:w="641" w:type="dxa"/>
          </w:tcPr>
          <w:p w:rsidR="00B2384E" w:rsidRPr="00C42BB8" w:rsidRDefault="00B2384E" w:rsidP="00E40AFA">
            <w:pPr>
              <w:rPr>
                <w:rFonts w:cstheme="minorHAnsi"/>
              </w:rPr>
            </w:pPr>
            <w:r>
              <w:rPr>
                <w:rFonts w:cstheme="minorHAnsi"/>
              </w:rPr>
              <w:t>1</w:t>
            </w:r>
            <w:r w:rsidR="003711D2">
              <w:rPr>
                <w:rFonts w:cstheme="minorHAnsi"/>
              </w:rPr>
              <w:t>0</w:t>
            </w:r>
          </w:p>
        </w:tc>
        <w:tc>
          <w:tcPr>
            <w:tcW w:w="1893" w:type="dxa"/>
          </w:tcPr>
          <w:p w:rsidR="00B2384E" w:rsidRPr="00C42BB8" w:rsidRDefault="00B2384E" w:rsidP="00E40AFA">
            <w:pPr>
              <w:rPr>
                <w:rFonts w:cstheme="minorHAnsi"/>
              </w:rPr>
            </w:pPr>
            <w:r w:rsidRPr="00C42BB8">
              <w:rPr>
                <w:rFonts w:eastAsia="Times New Roman" w:cstheme="minorHAnsi"/>
                <w:b/>
              </w:rPr>
              <w:t>Contract Reviews</w:t>
            </w:r>
          </w:p>
        </w:tc>
        <w:tc>
          <w:tcPr>
            <w:tcW w:w="3774" w:type="dxa"/>
          </w:tcPr>
          <w:p w:rsidR="00B2384E" w:rsidRPr="00B93837" w:rsidRDefault="00B2384E" w:rsidP="00E40AFA">
            <w:pPr>
              <w:rPr>
                <w:rFonts w:cstheme="minorHAnsi"/>
                <w:color w:val="FF0000"/>
              </w:rPr>
            </w:pPr>
            <w:r w:rsidRPr="00C42BB8">
              <w:rPr>
                <w:rFonts w:eastAsia="Times New Roman" w:cstheme="minorHAnsi"/>
              </w:rPr>
              <w:t>Vendor contracts not approved by KDHE are in use today.</w:t>
            </w:r>
          </w:p>
        </w:tc>
        <w:tc>
          <w:tcPr>
            <w:tcW w:w="1384" w:type="dxa"/>
          </w:tcPr>
          <w:p w:rsidR="00B2384E" w:rsidRPr="00C42BB8" w:rsidRDefault="00B2384E" w:rsidP="00E40AFA">
            <w:pPr>
              <w:rPr>
                <w:rFonts w:cstheme="minorHAnsi"/>
              </w:rPr>
            </w:pPr>
            <w:r w:rsidRPr="00C42BB8">
              <w:rPr>
                <w:rFonts w:eastAsia="Calibri" w:cstheme="minorHAnsi"/>
              </w:rPr>
              <w:t>RFP 5.5.</w:t>
            </w:r>
            <w:proofErr w:type="gramStart"/>
            <w:r w:rsidRPr="00C42BB8">
              <w:rPr>
                <w:rFonts w:eastAsia="Calibri" w:cstheme="minorHAnsi"/>
              </w:rPr>
              <w:t>13.L</w:t>
            </w:r>
            <w:proofErr w:type="gramEnd"/>
          </w:p>
        </w:tc>
        <w:tc>
          <w:tcPr>
            <w:tcW w:w="11763" w:type="dxa"/>
          </w:tcPr>
          <w:p w:rsidR="00B2384E" w:rsidRPr="00C42BB8" w:rsidRDefault="00B2384E" w:rsidP="00E40AFA">
            <w:pPr>
              <w:rPr>
                <w:rFonts w:eastAsia="Times New Roman" w:cstheme="minorHAnsi"/>
                <w:bCs/>
              </w:rPr>
            </w:pPr>
            <w:r w:rsidRPr="00C42BB8">
              <w:rPr>
                <w:rFonts w:eastAsia="Times New Roman" w:cstheme="minorHAnsi"/>
                <w:bCs/>
              </w:rPr>
              <w:t>5.5 PROVIDER NETWORK</w:t>
            </w:r>
          </w:p>
          <w:p w:rsidR="00B2384E" w:rsidRPr="00C42BB8" w:rsidRDefault="00B2384E" w:rsidP="00E40AFA">
            <w:pPr>
              <w:rPr>
                <w:rFonts w:eastAsia="Times New Roman" w:cstheme="minorHAnsi"/>
                <w:bCs/>
              </w:rPr>
            </w:pPr>
            <w:r w:rsidRPr="00C42BB8">
              <w:rPr>
                <w:rFonts w:eastAsia="Times New Roman" w:cstheme="minorHAnsi"/>
                <w:bCs/>
              </w:rPr>
              <w:t>5.5.13 DELEGATION RELATIONSHIPS</w:t>
            </w:r>
          </w:p>
          <w:p w:rsidR="00B2384E" w:rsidRPr="00C42BB8" w:rsidRDefault="00B2384E" w:rsidP="00E40AFA">
            <w:pPr>
              <w:rPr>
                <w:rFonts w:cstheme="minorHAnsi"/>
              </w:rPr>
            </w:pPr>
            <w:r w:rsidRPr="00C42BB8">
              <w:rPr>
                <w:rFonts w:eastAsia="Times New Roman" w:cstheme="minorHAnsi"/>
                <w:bCs/>
              </w:rPr>
              <w:t>5.5.13.L Each Subcontract, and, upon the request of the State, any further delegations by a Subcontractor, shall be subject to review and/or written approval by the State</w:t>
            </w:r>
          </w:p>
        </w:tc>
      </w:tr>
      <w:tr w:rsidR="00B2384E" w:rsidRPr="00C42BB8" w:rsidTr="00972641">
        <w:tc>
          <w:tcPr>
            <w:tcW w:w="641" w:type="dxa"/>
          </w:tcPr>
          <w:p w:rsidR="00B2384E" w:rsidRDefault="00B2384E" w:rsidP="00E40AFA">
            <w:pPr>
              <w:rPr>
                <w:rFonts w:cstheme="minorHAnsi"/>
              </w:rPr>
            </w:pPr>
            <w:r>
              <w:rPr>
                <w:rFonts w:cstheme="minorHAnsi"/>
              </w:rPr>
              <w:t>1</w:t>
            </w:r>
            <w:r w:rsidR="003711D2">
              <w:rPr>
                <w:rFonts w:cstheme="minorHAnsi"/>
              </w:rPr>
              <w:t>1</w:t>
            </w: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Default="003711D2" w:rsidP="00E40AFA">
            <w:pPr>
              <w:rPr>
                <w:rFonts w:cstheme="minorHAnsi"/>
              </w:rPr>
            </w:pPr>
          </w:p>
          <w:p w:rsidR="003711D2" w:rsidRPr="00C42BB8" w:rsidRDefault="003711D2" w:rsidP="00E40AFA">
            <w:pPr>
              <w:rPr>
                <w:rFonts w:cstheme="minorHAnsi"/>
              </w:rPr>
            </w:pPr>
            <w:r>
              <w:rPr>
                <w:rFonts w:cstheme="minorHAnsi"/>
              </w:rPr>
              <w:t>11</w:t>
            </w:r>
          </w:p>
        </w:tc>
        <w:tc>
          <w:tcPr>
            <w:tcW w:w="1893" w:type="dxa"/>
          </w:tcPr>
          <w:p w:rsidR="00B2384E" w:rsidRPr="00C42BB8" w:rsidRDefault="00B2384E" w:rsidP="00E40AFA">
            <w:pPr>
              <w:rPr>
                <w:rFonts w:eastAsia="Times New Roman" w:cstheme="minorHAnsi"/>
                <w:b/>
              </w:rPr>
            </w:pPr>
            <w:r w:rsidRPr="00C42BB8">
              <w:rPr>
                <w:rFonts w:eastAsia="Times New Roman" w:cstheme="minorHAnsi"/>
                <w:b/>
              </w:rPr>
              <w:lastRenderedPageBreak/>
              <w:t>Problem Notifications</w:t>
            </w:r>
          </w:p>
        </w:tc>
        <w:tc>
          <w:tcPr>
            <w:tcW w:w="3774" w:type="dxa"/>
          </w:tcPr>
          <w:p w:rsidR="00B2384E" w:rsidRPr="00C42BB8" w:rsidRDefault="00B2384E" w:rsidP="00E40AFA">
            <w:pPr>
              <w:rPr>
                <w:rFonts w:eastAsia="Times New Roman" w:cstheme="minorHAnsi"/>
              </w:rPr>
            </w:pPr>
            <w:r w:rsidRPr="00C42BB8">
              <w:rPr>
                <w:rFonts w:eastAsia="Times New Roman" w:cstheme="minorHAnsi"/>
              </w:rPr>
              <w:t>26 so far. 7/16/19 received a problem notification form for an issue that occurred in June</w:t>
            </w:r>
            <w:r>
              <w:rPr>
                <w:rFonts w:eastAsia="Times New Roman" w:cstheme="minorHAnsi"/>
              </w:rPr>
              <w:t>.</w:t>
            </w:r>
          </w:p>
        </w:tc>
        <w:tc>
          <w:tcPr>
            <w:tcW w:w="1384" w:type="dxa"/>
          </w:tcPr>
          <w:p w:rsidR="00B2384E" w:rsidRPr="00C42BB8" w:rsidRDefault="00B2384E" w:rsidP="00E40AFA">
            <w:pPr>
              <w:rPr>
                <w:rFonts w:eastAsia="Calibri" w:cstheme="minorHAnsi"/>
              </w:rPr>
            </w:pPr>
            <w:r w:rsidRPr="00C42BB8">
              <w:rPr>
                <w:rFonts w:eastAsia="Calibri" w:cstheme="minorHAnsi"/>
              </w:rPr>
              <w:t>RFP Attachment I, 5.3</w:t>
            </w:r>
          </w:p>
        </w:tc>
        <w:tc>
          <w:tcPr>
            <w:tcW w:w="11763" w:type="dxa"/>
          </w:tcPr>
          <w:p w:rsidR="00B2384E" w:rsidRPr="00C42BB8" w:rsidRDefault="00B2384E" w:rsidP="00E40AFA">
            <w:pPr>
              <w:autoSpaceDE w:val="0"/>
              <w:autoSpaceDN w:val="0"/>
              <w:adjustRightInd w:val="0"/>
              <w:rPr>
                <w:rFonts w:cstheme="minorHAnsi"/>
                <w:color w:val="000000"/>
              </w:rPr>
            </w:pPr>
            <w:r w:rsidRPr="00C42BB8">
              <w:rPr>
                <w:rFonts w:eastAsia="Calibri" w:cstheme="minorHAnsi"/>
              </w:rPr>
              <w:object w:dxaOrig="1544" w:dyaOrig="998" w14:anchorId="4D938703">
                <v:shape id="_x0000_i1029" type="#_x0000_t75" style="width:77.25pt;height:50.25pt" o:ole="">
                  <v:imagedata r:id="rId10" o:title=""/>
                </v:shape>
                <o:OLEObject Type="Embed" ProgID="Word.Document.12" ShapeID="_x0000_i1029" DrawAspect="Icon" ObjectID="_1625052007" r:id="rId14">
                  <o:FieldCodes>\s</o:FieldCodes>
                </o:OLEObject>
              </w:object>
            </w:r>
          </w:p>
          <w:p w:rsidR="00B2384E" w:rsidRPr="00C42BB8" w:rsidRDefault="00B2384E" w:rsidP="00E40AFA">
            <w:pPr>
              <w:autoSpaceDE w:val="0"/>
              <w:autoSpaceDN w:val="0"/>
              <w:adjustRightInd w:val="0"/>
              <w:rPr>
                <w:rFonts w:cstheme="minorHAnsi"/>
                <w:color w:val="000000"/>
              </w:rPr>
            </w:pPr>
          </w:p>
          <w:p w:rsidR="00B2384E" w:rsidRPr="00EA0C56" w:rsidRDefault="00B2384E" w:rsidP="00E40AFA">
            <w:pPr>
              <w:autoSpaceDE w:val="0"/>
              <w:autoSpaceDN w:val="0"/>
              <w:adjustRightInd w:val="0"/>
              <w:rPr>
                <w:rFonts w:cstheme="minorHAnsi"/>
                <w:color w:val="000000"/>
              </w:rPr>
            </w:pPr>
            <w:r w:rsidRPr="00EA0C56">
              <w:rPr>
                <w:rFonts w:cstheme="minorHAnsi"/>
                <w:color w:val="000000"/>
              </w:rPr>
              <w:t xml:space="preserve">5.3 Problem Notification </w:t>
            </w:r>
          </w:p>
          <w:p w:rsidR="00B2384E" w:rsidRPr="00EA0C56" w:rsidRDefault="00B2384E" w:rsidP="00E40AFA">
            <w:pPr>
              <w:autoSpaceDE w:val="0"/>
              <w:autoSpaceDN w:val="0"/>
              <w:adjustRightInd w:val="0"/>
              <w:rPr>
                <w:rFonts w:cstheme="minorHAnsi"/>
                <w:color w:val="000000"/>
              </w:rPr>
            </w:pPr>
            <w:r w:rsidRPr="00EA0C56">
              <w:rPr>
                <w:rFonts w:cstheme="minorHAnsi"/>
                <w:color w:val="000000"/>
              </w:rPr>
              <w:t xml:space="preserve">Upon discovery of any problem within its span of control that may jeopardize or is jeopardizing the availability and performance of all systems functions and the availability of information, including any problems affecting scheduled exchanges of ATTACHMENT I Page 11 of 11 </w:t>
            </w:r>
          </w:p>
          <w:p w:rsidR="00B2384E" w:rsidRPr="00EA0C56" w:rsidRDefault="00B2384E" w:rsidP="00E40AFA">
            <w:pPr>
              <w:autoSpaceDE w:val="0"/>
              <w:autoSpaceDN w:val="0"/>
              <w:adjustRightInd w:val="0"/>
              <w:rPr>
                <w:rFonts w:cstheme="minorHAnsi"/>
              </w:rPr>
            </w:pPr>
          </w:p>
          <w:p w:rsidR="00B2384E" w:rsidRPr="00EA0C56" w:rsidRDefault="00B2384E" w:rsidP="00E40AFA">
            <w:pPr>
              <w:pageBreakBefore/>
              <w:autoSpaceDE w:val="0"/>
              <w:autoSpaceDN w:val="0"/>
              <w:adjustRightInd w:val="0"/>
              <w:rPr>
                <w:rFonts w:cstheme="minorHAnsi"/>
              </w:rPr>
            </w:pPr>
          </w:p>
          <w:p w:rsidR="00B2384E" w:rsidRPr="00EA0C56" w:rsidRDefault="00B2384E" w:rsidP="00E40AFA">
            <w:pPr>
              <w:autoSpaceDE w:val="0"/>
              <w:autoSpaceDN w:val="0"/>
              <w:adjustRightInd w:val="0"/>
              <w:spacing w:after="14"/>
              <w:rPr>
                <w:rFonts w:cstheme="minorHAnsi"/>
              </w:rPr>
            </w:pPr>
            <w:r w:rsidRPr="00EA0C56">
              <w:rPr>
                <w:rFonts w:cstheme="minorHAnsi"/>
              </w:rPr>
              <w:lastRenderedPageBreak/>
              <w:t xml:space="preserve">5.3.1 In its notification, the CONTRACTOR(S) shall: 5.3.1.1 Explain in detail the impact to critical path processes such as enrollment management and claims submission processes. </w:t>
            </w:r>
          </w:p>
          <w:p w:rsidR="00B2384E" w:rsidRPr="00EA0C56" w:rsidRDefault="00B2384E" w:rsidP="00E40AFA">
            <w:pPr>
              <w:autoSpaceDE w:val="0"/>
              <w:autoSpaceDN w:val="0"/>
              <w:adjustRightInd w:val="0"/>
              <w:rPr>
                <w:rFonts w:cstheme="minorHAnsi"/>
              </w:rPr>
            </w:pPr>
            <w:r w:rsidRPr="00EA0C56">
              <w:rPr>
                <w:rFonts w:cstheme="minorHAnsi"/>
              </w:rPr>
              <w:t xml:space="preserve">5.3.1.2 Submit an MCO Problem Notification Form by the end of the next business day after discovery of a system deficiency is identified. </w:t>
            </w:r>
          </w:p>
          <w:p w:rsidR="00B2384E" w:rsidRPr="00C42BB8" w:rsidRDefault="00B2384E" w:rsidP="00E40AFA">
            <w:pPr>
              <w:rPr>
                <w:rFonts w:eastAsia="Times New Roman" w:cstheme="minorHAnsi"/>
                <w:bCs/>
              </w:rPr>
            </w:pPr>
          </w:p>
        </w:tc>
      </w:tr>
    </w:tbl>
    <w:p w:rsidR="00416E62" w:rsidRPr="00C42BB8" w:rsidRDefault="00416E62" w:rsidP="001071FE">
      <w:pPr>
        <w:ind w:left="1008"/>
        <w:rPr>
          <w:rFonts w:cstheme="minorHAnsi"/>
        </w:rPr>
      </w:pPr>
    </w:p>
    <w:sectPr w:rsidR="00416E62" w:rsidRPr="00C42BB8" w:rsidSect="001071FE">
      <w:headerReference w:type="default" r:id="rId15"/>
      <w:footerReference w:type="default" r:id="rId16"/>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DEF" w:rsidRDefault="001D6DEF" w:rsidP="00996377">
      <w:pPr>
        <w:spacing w:after="0" w:line="240" w:lineRule="auto"/>
      </w:pPr>
      <w:r>
        <w:separator/>
      </w:r>
    </w:p>
  </w:endnote>
  <w:endnote w:type="continuationSeparator" w:id="0">
    <w:p w:rsidR="001D6DEF" w:rsidRDefault="001D6DEF" w:rsidP="0099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304622"/>
      <w:docPartObj>
        <w:docPartGallery w:val="Page Numbers (Bottom of Page)"/>
        <w:docPartUnique/>
      </w:docPartObj>
    </w:sdtPr>
    <w:sdtEndPr>
      <w:rPr>
        <w:noProof/>
      </w:rPr>
    </w:sdtEndPr>
    <w:sdtContent>
      <w:p w:rsidR="00996377" w:rsidRDefault="00996377">
        <w:pPr>
          <w:pStyle w:val="Footer"/>
          <w:jc w:val="center"/>
        </w:pPr>
        <w:r>
          <w:fldChar w:fldCharType="begin"/>
        </w:r>
        <w:r>
          <w:instrText xml:space="preserve"> PAGE   \* MERGEFORMAT </w:instrText>
        </w:r>
        <w:r>
          <w:fldChar w:fldCharType="separate"/>
        </w:r>
        <w:r w:rsidR="001F01FC">
          <w:rPr>
            <w:noProof/>
          </w:rPr>
          <w:t>2</w:t>
        </w:r>
        <w:r>
          <w:rPr>
            <w:noProof/>
          </w:rPr>
          <w:fldChar w:fldCharType="end"/>
        </w:r>
      </w:p>
    </w:sdtContent>
  </w:sdt>
  <w:p w:rsidR="00996377" w:rsidRDefault="00996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DEF" w:rsidRDefault="001D6DEF" w:rsidP="00996377">
      <w:pPr>
        <w:spacing w:after="0" w:line="240" w:lineRule="auto"/>
      </w:pPr>
      <w:r>
        <w:separator/>
      </w:r>
    </w:p>
  </w:footnote>
  <w:footnote w:type="continuationSeparator" w:id="0">
    <w:p w:rsidR="001D6DEF" w:rsidRDefault="001D6DEF" w:rsidP="00996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F28" w:rsidRPr="00E70F28" w:rsidRDefault="00E70F28" w:rsidP="00E70F28">
    <w:pPr>
      <w:pStyle w:val="Header"/>
      <w:jc w:val="center"/>
      <w:rPr>
        <w:rFonts w:ascii="Arial" w:hAnsi="Arial" w:cs="Arial"/>
        <w:b/>
        <w:sz w:val="36"/>
        <w:szCs w:val="36"/>
      </w:rPr>
    </w:pPr>
    <w:r w:rsidRPr="00E70F28">
      <w:rPr>
        <w:rFonts w:ascii="Arial" w:hAnsi="Arial" w:cs="Arial"/>
        <w:b/>
        <w:sz w:val="36"/>
        <w:szCs w:val="36"/>
      </w:rPr>
      <w:t xml:space="preserve">Aetna </w:t>
    </w:r>
    <w:r w:rsidR="001F01FC">
      <w:rPr>
        <w:rFonts w:ascii="Arial" w:hAnsi="Arial" w:cs="Arial"/>
        <w:b/>
        <w:sz w:val="36"/>
        <w:szCs w:val="36"/>
      </w:rPr>
      <w:t>– Contract Compliance Concerns</w:t>
    </w:r>
  </w:p>
  <w:p w:rsidR="00E70F28" w:rsidRPr="00E70F28" w:rsidRDefault="00E70F28" w:rsidP="00E70F28">
    <w:pPr>
      <w:pStyle w:val="Header"/>
      <w:jc w:val="center"/>
      <w:rPr>
        <w:rFonts w:ascii="Arial" w:hAnsi="Arial" w:cs="Arial"/>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5AEE"/>
    <w:multiLevelType w:val="multilevel"/>
    <w:tmpl w:val="FCD0601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CD03B8"/>
    <w:multiLevelType w:val="multilevel"/>
    <w:tmpl w:val="B70C00C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7F20B7F"/>
    <w:multiLevelType w:val="multilevel"/>
    <w:tmpl w:val="8CBA5662"/>
    <w:lvl w:ilvl="0">
      <w:start w:val="1"/>
      <w:numFmt w:val="decimal"/>
      <w:lvlText w:val="%1.0"/>
      <w:lvlJc w:val="left"/>
      <w:pPr>
        <w:ind w:left="360" w:hanging="360"/>
      </w:pPr>
      <w:rPr>
        <w:rFonts w:asciiTheme="minorHAnsi" w:eastAsia="Times New Roman" w:hAnsiTheme="minorHAnsi" w:cstheme="minorHAnsi" w:hint="default"/>
        <w:sz w:val="24"/>
      </w:rPr>
    </w:lvl>
    <w:lvl w:ilvl="1">
      <w:start w:val="1"/>
      <w:numFmt w:val="decimal"/>
      <w:lvlText w:val="%1.%2"/>
      <w:lvlJc w:val="left"/>
      <w:pPr>
        <w:ind w:left="1080" w:hanging="360"/>
      </w:pPr>
      <w:rPr>
        <w:rFonts w:asciiTheme="minorHAnsi" w:eastAsia="Times New Roman" w:hAnsiTheme="minorHAnsi" w:cstheme="minorHAnsi" w:hint="default"/>
        <w:sz w:val="24"/>
      </w:rPr>
    </w:lvl>
    <w:lvl w:ilvl="2">
      <w:start w:val="1"/>
      <w:numFmt w:val="decimal"/>
      <w:lvlText w:val="%1.%2.%3"/>
      <w:lvlJc w:val="left"/>
      <w:pPr>
        <w:ind w:left="2160" w:hanging="720"/>
      </w:pPr>
      <w:rPr>
        <w:rFonts w:asciiTheme="minorHAnsi" w:eastAsia="Times New Roman" w:hAnsiTheme="minorHAnsi" w:cstheme="minorHAnsi" w:hint="default"/>
        <w:sz w:val="24"/>
      </w:rPr>
    </w:lvl>
    <w:lvl w:ilvl="3">
      <w:start w:val="1"/>
      <w:numFmt w:val="decimal"/>
      <w:lvlText w:val="%1.%2.%3.%4"/>
      <w:lvlJc w:val="left"/>
      <w:pPr>
        <w:ind w:left="2880" w:hanging="720"/>
      </w:pPr>
      <w:rPr>
        <w:rFonts w:asciiTheme="minorHAnsi" w:eastAsia="Times New Roman" w:hAnsiTheme="minorHAnsi" w:cstheme="minorHAnsi" w:hint="default"/>
        <w:sz w:val="24"/>
      </w:rPr>
    </w:lvl>
    <w:lvl w:ilvl="4">
      <w:start w:val="1"/>
      <w:numFmt w:val="decimal"/>
      <w:lvlText w:val="%1.%2.%3.%4.%5"/>
      <w:lvlJc w:val="left"/>
      <w:pPr>
        <w:ind w:left="3960" w:hanging="1080"/>
      </w:pPr>
      <w:rPr>
        <w:rFonts w:asciiTheme="minorHAnsi" w:eastAsia="Times New Roman" w:hAnsiTheme="minorHAnsi" w:cstheme="minorHAnsi" w:hint="default"/>
        <w:sz w:val="24"/>
      </w:rPr>
    </w:lvl>
    <w:lvl w:ilvl="5">
      <w:start w:val="1"/>
      <w:numFmt w:val="decimal"/>
      <w:lvlText w:val="%1.%2.%3.%4.%5.%6"/>
      <w:lvlJc w:val="left"/>
      <w:pPr>
        <w:ind w:left="4680" w:hanging="1080"/>
      </w:pPr>
      <w:rPr>
        <w:rFonts w:asciiTheme="minorHAnsi" w:eastAsia="Times New Roman" w:hAnsiTheme="minorHAnsi" w:cstheme="minorHAnsi" w:hint="default"/>
        <w:sz w:val="24"/>
      </w:rPr>
    </w:lvl>
    <w:lvl w:ilvl="6">
      <w:start w:val="1"/>
      <w:numFmt w:val="decimal"/>
      <w:lvlText w:val="%1.%2.%3.%4.%5.%6.%7"/>
      <w:lvlJc w:val="left"/>
      <w:pPr>
        <w:ind w:left="5760" w:hanging="1440"/>
      </w:pPr>
      <w:rPr>
        <w:rFonts w:asciiTheme="minorHAnsi" w:eastAsia="Times New Roman" w:hAnsiTheme="minorHAnsi" w:cstheme="minorHAnsi" w:hint="default"/>
        <w:sz w:val="24"/>
      </w:rPr>
    </w:lvl>
    <w:lvl w:ilvl="7">
      <w:start w:val="1"/>
      <w:numFmt w:val="decimal"/>
      <w:lvlText w:val="%1.%2.%3.%4.%5.%6.%7.%8"/>
      <w:lvlJc w:val="left"/>
      <w:pPr>
        <w:ind w:left="6480" w:hanging="1440"/>
      </w:pPr>
      <w:rPr>
        <w:rFonts w:asciiTheme="minorHAnsi" w:eastAsia="Times New Roman" w:hAnsiTheme="minorHAnsi" w:cstheme="minorHAnsi" w:hint="default"/>
        <w:sz w:val="24"/>
      </w:rPr>
    </w:lvl>
    <w:lvl w:ilvl="8">
      <w:start w:val="1"/>
      <w:numFmt w:val="decimal"/>
      <w:lvlText w:val="%1.%2.%3.%4.%5.%6.%7.%8.%9"/>
      <w:lvlJc w:val="left"/>
      <w:pPr>
        <w:ind w:left="7560" w:hanging="1800"/>
      </w:pPr>
      <w:rPr>
        <w:rFonts w:asciiTheme="minorHAnsi" w:eastAsia="Times New Roman" w:hAnsiTheme="minorHAnsi" w:cstheme="minorHAnsi" w:hint="default"/>
        <w:sz w:val="24"/>
      </w:rPr>
    </w:lvl>
  </w:abstractNum>
  <w:abstractNum w:abstractNumId="3" w15:restartNumberingAfterBreak="0">
    <w:nsid w:val="7161703C"/>
    <w:multiLevelType w:val="multilevel"/>
    <w:tmpl w:val="02A4BDD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FE"/>
    <w:rsid w:val="00020CEE"/>
    <w:rsid w:val="00045F81"/>
    <w:rsid w:val="00084B89"/>
    <w:rsid w:val="001071FE"/>
    <w:rsid w:val="00117E89"/>
    <w:rsid w:val="001D3869"/>
    <w:rsid w:val="001D6DEF"/>
    <w:rsid w:val="001F01FC"/>
    <w:rsid w:val="001F129A"/>
    <w:rsid w:val="00241587"/>
    <w:rsid w:val="002B050D"/>
    <w:rsid w:val="003711D2"/>
    <w:rsid w:val="003B363C"/>
    <w:rsid w:val="00416E62"/>
    <w:rsid w:val="0051403E"/>
    <w:rsid w:val="006732B8"/>
    <w:rsid w:val="00684EB9"/>
    <w:rsid w:val="0071582C"/>
    <w:rsid w:val="00741C8B"/>
    <w:rsid w:val="00911A72"/>
    <w:rsid w:val="00972641"/>
    <w:rsid w:val="00996377"/>
    <w:rsid w:val="009C7407"/>
    <w:rsid w:val="00A1208C"/>
    <w:rsid w:val="00B2384E"/>
    <w:rsid w:val="00B37E48"/>
    <w:rsid w:val="00B75476"/>
    <w:rsid w:val="00B771F1"/>
    <w:rsid w:val="00B93837"/>
    <w:rsid w:val="00BC0297"/>
    <w:rsid w:val="00C40F86"/>
    <w:rsid w:val="00C42BB8"/>
    <w:rsid w:val="00C5507A"/>
    <w:rsid w:val="00C7655C"/>
    <w:rsid w:val="00CA2324"/>
    <w:rsid w:val="00D40B15"/>
    <w:rsid w:val="00D70CD5"/>
    <w:rsid w:val="00DB7DCA"/>
    <w:rsid w:val="00DF3D16"/>
    <w:rsid w:val="00E40AFA"/>
    <w:rsid w:val="00E5322B"/>
    <w:rsid w:val="00E70F28"/>
    <w:rsid w:val="00EA0C56"/>
    <w:rsid w:val="00F8204D"/>
    <w:rsid w:val="00FB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4F65378-9F3B-4D4F-9CAB-85ADBF44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41587"/>
    <w:pPr>
      <w:keepNext/>
      <w:keepLines/>
      <w:spacing w:before="40" w:after="0"/>
      <w:ind w:left="720"/>
      <w:outlineLvl w:val="2"/>
    </w:pPr>
    <w:rPr>
      <w:rFonts w:ascii="Arial" w:eastAsiaTheme="majorEastAsia" w:hAnsi="Arial" w:cs="Arial"/>
      <w:color w:val="1F3763"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377"/>
  </w:style>
  <w:style w:type="paragraph" w:styleId="Footer">
    <w:name w:val="footer"/>
    <w:basedOn w:val="Normal"/>
    <w:link w:val="FooterChar"/>
    <w:uiPriority w:val="99"/>
    <w:unhideWhenUsed/>
    <w:rsid w:val="0099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377"/>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1587"/>
    <w:pPr>
      <w:spacing w:after="200" w:line="276" w:lineRule="auto"/>
      <w:ind w:left="720"/>
      <w:contextualSpacing/>
    </w:pPr>
  </w:style>
  <w:style w:type="character" w:customStyle="1" w:styleId="Heading3Char">
    <w:name w:val="Heading 3 Char"/>
    <w:basedOn w:val="DefaultParagraphFont"/>
    <w:link w:val="Heading3"/>
    <w:uiPriority w:val="9"/>
    <w:rsid w:val="00241587"/>
    <w:rPr>
      <w:rFonts w:ascii="Arial" w:eastAsiaTheme="majorEastAsia" w:hAnsi="Arial" w:cs="Arial"/>
      <w:color w:val="1F3763"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93653">
      <w:bodyDiv w:val="1"/>
      <w:marLeft w:val="0"/>
      <w:marRight w:val="0"/>
      <w:marTop w:val="0"/>
      <w:marBottom w:val="0"/>
      <w:divBdr>
        <w:top w:val="none" w:sz="0" w:space="0" w:color="auto"/>
        <w:left w:val="none" w:sz="0" w:space="0" w:color="auto"/>
        <w:bottom w:val="none" w:sz="0" w:space="0" w:color="auto"/>
        <w:right w:val="none" w:sz="0" w:space="0" w:color="auto"/>
      </w:divBdr>
    </w:div>
    <w:div w:id="1789812419">
      <w:bodyDiv w:val="1"/>
      <w:marLeft w:val="0"/>
      <w:marRight w:val="0"/>
      <w:marTop w:val="0"/>
      <w:marBottom w:val="0"/>
      <w:divBdr>
        <w:top w:val="none" w:sz="0" w:space="0" w:color="auto"/>
        <w:left w:val="none" w:sz="0" w:space="0" w:color="auto"/>
        <w:bottom w:val="none" w:sz="0" w:space="0" w:color="auto"/>
        <w:right w:val="none" w:sz="0" w:space="0" w:color="auto"/>
      </w:divBdr>
    </w:div>
    <w:div w:id="20042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package" Target="embeddings/Microsoft_Word_Document4.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FF10-E20F-474D-824A-7227D71B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1948</Words>
  <Characters>11110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J. Weiter [KDHE]</dc:creator>
  <cp:keywords/>
  <dc:description/>
  <cp:lastModifiedBy>Chris Swartz [KDHE]</cp:lastModifiedBy>
  <cp:revision>2</cp:revision>
  <dcterms:created xsi:type="dcterms:W3CDTF">2019-07-19T19:34:00Z</dcterms:created>
  <dcterms:modified xsi:type="dcterms:W3CDTF">2019-07-19T19:34:00Z</dcterms:modified>
</cp:coreProperties>
</file>